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5E28" w14:textId="61D7EE47" w:rsidR="00E25613" w:rsidRPr="00023F2C" w:rsidRDefault="00E25613" w:rsidP="001E1BD1">
      <w:pPr>
        <w:jc w:val="center"/>
        <w:rPr>
          <w:rFonts w:asciiTheme="minorHAnsi" w:hAnsiTheme="minorHAnsi"/>
          <w:b/>
          <w:i/>
          <w:u w:val="single"/>
        </w:rPr>
      </w:pPr>
      <w:r w:rsidRPr="00023F2C">
        <w:rPr>
          <w:rFonts w:asciiTheme="minorHAnsi" w:hAnsiTheme="minorHAnsi"/>
          <w:b/>
          <w:i/>
          <w:u w:val="single"/>
        </w:rPr>
        <w:t xml:space="preserve">Informace zveřejňované o povinném subjektu </w:t>
      </w:r>
      <w:r w:rsidR="001E1BD1" w:rsidRPr="00023F2C">
        <w:rPr>
          <w:rFonts w:asciiTheme="minorHAnsi" w:hAnsiTheme="minorHAnsi"/>
          <w:b/>
          <w:i/>
          <w:u w:val="single"/>
        </w:rPr>
        <w:br/>
      </w:r>
      <w:r w:rsidRPr="00023F2C">
        <w:rPr>
          <w:rFonts w:asciiTheme="minorHAnsi" w:hAnsiTheme="minorHAnsi"/>
          <w:b/>
          <w:i/>
          <w:u w:val="single"/>
        </w:rPr>
        <w:t xml:space="preserve">dle 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§ 21 odst. 3 Zákona č. 106/1999 Sb. a dle Vyhlášky </w:t>
      </w:r>
      <w:r w:rsidR="00941252"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č. </w:t>
      </w:r>
      <w:r w:rsidR="001C3559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>515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>/20</w:t>
      </w:r>
      <w:r w:rsidR="001C3559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>20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 Sb. (přílohy č. 1)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7"/>
        <w:gridCol w:w="2867"/>
        <w:gridCol w:w="5355"/>
      </w:tblGrid>
      <w:tr w:rsidR="00E25613" w:rsidRPr="00023F2C" w14:paraId="6184B46A" w14:textId="77777777" w:rsidTr="00C7019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hideMark/>
          </w:tcPr>
          <w:p w14:paraId="34DBF5D4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Číslo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hideMark/>
          </w:tcPr>
          <w:p w14:paraId="7572A2EC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Položka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49E140EE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Obsah</w:t>
            </w:r>
          </w:p>
        </w:tc>
      </w:tr>
      <w:tr w:rsidR="00E25613" w:rsidRPr="00023F2C" w14:paraId="13A13256" w14:textId="77777777" w:rsidTr="00C7019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B0A2B10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22D583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Název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365CE1F" w14:textId="77777777" w:rsidR="00E25613" w:rsidRPr="00023F2C" w:rsidRDefault="00E25613" w:rsidP="00E2561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Centrum pro regionální rozvoj České republiky</w:t>
            </w:r>
          </w:p>
        </w:tc>
      </w:tr>
      <w:tr w:rsidR="00E25613" w:rsidRPr="00023F2C" w14:paraId="2D01E3B6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14D420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2.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1AA304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Důvod a způsob založení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E48D1A5" w14:textId="2D79ADD9" w:rsidR="001C3559" w:rsidRDefault="00E25613" w:rsidP="001C3559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bCs w:val="0"/>
              </w:rPr>
            </w:pPr>
            <w:r w:rsidRPr="001C3559">
              <w:rPr>
                <w:rFonts w:asciiTheme="minorHAnsi" w:hAnsiTheme="minorHAnsi"/>
              </w:rPr>
              <w:t>Centrum pro regionální rozvoj Č</w:t>
            </w:r>
            <w:r w:rsidR="00EF278F" w:rsidRPr="001C3559">
              <w:rPr>
                <w:rFonts w:asciiTheme="minorHAnsi" w:hAnsiTheme="minorHAnsi"/>
              </w:rPr>
              <w:t>eské republiky</w:t>
            </w:r>
            <w:r w:rsidRPr="001C3559">
              <w:rPr>
                <w:rFonts w:asciiTheme="minorHAnsi" w:hAnsiTheme="minorHAnsi"/>
              </w:rPr>
              <w:t xml:space="preserve"> (dále</w:t>
            </w:r>
            <w:r w:rsidR="00EF278F" w:rsidRPr="001C3559">
              <w:rPr>
                <w:rFonts w:asciiTheme="minorHAnsi" w:hAnsiTheme="minorHAnsi"/>
              </w:rPr>
              <w:t xml:space="preserve"> </w:t>
            </w:r>
            <w:r w:rsidR="001C3559">
              <w:rPr>
                <w:rFonts w:asciiTheme="minorHAnsi" w:hAnsiTheme="minorHAnsi"/>
              </w:rPr>
              <w:t>„</w:t>
            </w:r>
            <w:r w:rsidR="00EF278F" w:rsidRPr="001C3559">
              <w:rPr>
                <w:rFonts w:asciiTheme="minorHAnsi" w:hAnsiTheme="minorHAnsi"/>
              </w:rPr>
              <w:t>Centrum</w:t>
            </w:r>
            <w:r w:rsidR="001C3559">
              <w:rPr>
                <w:rFonts w:asciiTheme="minorHAnsi" w:hAnsiTheme="minorHAnsi"/>
              </w:rPr>
              <w:t>“</w:t>
            </w:r>
            <w:r w:rsidRPr="001C3559">
              <w:rPr>
                <w:rFonts w:asciiTheme="minorHAnsi" w:hAnsiTheme="minorHAnsi"/>
              </w:rPr>
              <w:t xml:space="preserve">) je </w:t>
            </w:r>
            <w:r w:rsidR="00EF278F" w:rsidRPr="001C3559">
              <w:rPr>
                <w:rFonts w:asciiTheme="minorHAnsi" w:hAnsiTheme="minorHAnsi"/>
              </w:rPr>
              <w:t xml:space="preserve">státní </w:t>
            </w:r>
            <w:r w:rsidRPr="001C3559">
              <w:rPr>
                <w:rFonts w:asciiTheme="minorHAnsi" w:hAnsiTheme="minorHAnsi"/>
              </w:rPr>
              <w:t xml:space="preserve">příspěvková organizace zřízená </w:t>
            </w:r>
            <w:r w:rsidR="00EF278F" w:rsidRPr="001C3559">
              <w:rPr>
                <w:rFonts w:asciiTheme="minorHAnsi" w:hAnsiTheme="minorHAnsi"/>
              </w:rPr>
              <w:t xml:space="preserve">Zákonem č. 248/2000 Sb., o podpoře regionálního rozvoje, v platném znění, a řízená </w:t>
            </w:r>
            <w:r w:rsidRPr="001C3559">
              <w:rPr>
                <w:rFonts w:asciiTheme="minorHAnsi" w:hAnsiTheme="minorHAnsi"/>
              </w:rPr>
              <w:t>Ministerstvem pro místní rozvoj ČR</w:t>
            </w:r>
            <w:r w:rsidRPr="001C3559">
              <w:rPr>
                <w:rStyle w:val="Siln"/>
                <w:rFonts w:asciiTheme="minorHAnsi" w:hAnsiTheme="minorHAnsi"/>
                <w:b w:val="0"/>
                <w:bCs w:val="0"/>
              </w:rPr>
              <w:t xml:space="preserve">. </w:t>
            </w:r>
          </w:p>
          <w:p w14:paraId="38FBAECC" w14:textId="6F33E3BE" w:rsidR="001C3559" w:rsidRPr="001C3559" w:rsidRDefault="001C3559" w:rsidP="001C3559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bCs w:val="0"/>
              </w:rPr>
            </w:pPr>
            <w:r w:rsidRPr="001C3559">
              <w:rPr>
                <w:rStyle w:val="Siln"/>
                <w:rFonts w:asciiTheme="minorHAnsi" w:hAnsiTheme="minorHAnsi"/>
                <w:b w:val="0"/>
                <w:bCs w:val="0"/>
              </w:rPr>
              <w:t>Centrum vykonává v určeném rozsahu činnosti zprostředkujícího subjektu podle přímo použitelného předpisu Evropské unie (dále</w:t>
            </w:r>
            <w:r>
              <w:rPr>
                <w:rStyle w:val="Siln"/>
                <w:rFonts w:asciiTheme="minorHAnsi" w:hAnsiTheme="minorHAnsi"/>
                <w:b w:val="0"/>
                <w:bCs w:val="0"/>
              </w:rPr>
              <w:t xml:space="preserve"> </w:t>
            </w:r>
            <w:r w:rsidRPr="001C3559">
              <w:rPr>
                <w:rStyle w:val="Siln"/>
                <w:rFonts w:asciiTheme="minorHAnsi" w:hAnsiTheme="minorHAnsi"/>
                <w:b w:val="0"/>
                <w:bCs w:val="0"/>
              </w:rPr>
              <w:t>„EU“) pro vybrané operační programy financované z Evropských strukturálních a investičních fondů (dále</w:t>
            </w:r>
            <w:r>
              <w:rPr>
                <w:rStyle w:val="Siln"/>
                <w:rFonts w:asciiTheme="minorHAnsi" w:hAnsiTheme="minorHAnsi"/>
                <w:b w:val="0"/>
                <w:bCs w:val="0"/>
              </w:rPr>
              <w:t xml:space="preserve"> </w:t>
            </w:r>
            <w:r w:rsidRPr="001C3559">
              <w:rPr>
                <w:rStyle w:val="Siln"/>
                <w:rFonts w:asciiTheme="minorHAnsi" w:hAnsiTheme="minorHAnsi"/>
                <w:b w:val="0"/>
                <w:bCs w:val="0"/>
              </w:rPr>
              <w:t>„ESIF“).</w:t>
            </w:r>
          </w:p>
          <w:p w14:paraId="2A6D9C2E" w14:textId="62423B0E" w:rsidR="001C3559" w:rsidRPr="001C3559" w:rsidRDefault="001C3559" w:rsidP="001C3559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bCs w:val="0"/>
              </w:rPr>
            </w:pPr>
            <w:r w:rsidRPr="001C3559">
              <w:rPr>
                <w:rStyle w:val="Siln"/>
                <w:rFonts w:asciiTheme="minorHAnsi" w:hAnsiTheme="minorHAnsi"/>
                <w:b w:val="0"/>
                <w:bCs w:val="0"/>
              </w:rPr>
              <w:t>Centrum plní funkce společného sekretariátu a kontrolora podle přímo použitelného předpisu EU pro vybrané operační programy v rámci cíle Evropské územní spolupráce.</w:t>
            </w:r>
          </w:p>
          <w:p w14:paraId="4A0D62E8" w14:textId="2B54E473" w:rsidR="001C3559" w:rsidRPr="001C3559" w:rsidRDefault="001C3559" w:rsidP="001C3559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bCs w:val="0"/>
              </w:rPr>
            </w:pPr>
            <w:r w:rsidRPr="001C3559">
              <w:rPr>
                <w:rStyle w:val="Siln"/>
                <w:rFonts w:asciiTheme="minorHAnsi" w:hAnsiTheme="minorHAnsi"/>
                <w:b w:val="0"/>
                <w:bCs w:val="0"/>
              </w:rPr>
              <w:t>Centrum poskytuje poradenské služby v souvislosti s využíváním prostředků zejména z ESIF.</w:t>
            </w:r>
          </w:p>
          <w:p w14:paraId="264D653F" w14:textId="77777777" w:rsidR="001C3559" w:rsidRPr="001C3559" w:rsidRDefault="001C3559" w:rsidP="001C3559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bCs w:val="0"/>
              </w:rPr>
            </w:pPr>
            <w:r w:rsidRPr="001C3559">
              <w:rPr>
                <w:rStyle w:val="Siln"/>
                <w:rFonts w:asciiTheme="minorHAnsi" w:hAnsiTheme="minorHAnsi"/>
                <w:b w:val="0"/>
                <w:bCs w:val="0"/>
              </w:rPr>
              <w:t xml:space="preserve">Centrum plní další úkoly v oblasti podpory regionálního rozvoje. </w:t>
            </w:r>
          </w:p>
          <w:p w14:paraId="24ECD707" w14:textId="740A130E" w:rsidR="00E25613" w:rsidRPr="00023F2C" w:rsidRDefault="00E25613" w:rsidP="001C3559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  <w:b/>
                <w:bCs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Činnost C</w:t>
            </w:r>
            <w:r w:rsidR="00EF278F" w:rsidRPr="00023F2C">
              <w:rPr>
                <w:rStyle w:val="Siln"/>
                <w:rFonts w:asciiTheme="minorHAnsi" w:hAnsiTheme="minorHAnsi"/>
                <w:b w:val="0"/>
              </w:rPr>
              <w:t>entra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 </w:t>
            </w:r>
            <w:r w:rsidR="001C3559">
              <w:rPr>
                <w:rStyle w:val="Siln"/>
                <w:rFonts w:asciiTheme="minorHAnsi" w:hAnsiTheme="minorHAnsi"/>
                <w:b w:val="0"/>
              </w:rPr>
              <w:t>podrobně</w:t>
            </w:r>
            <w:r w:rsidR="00EF278F" w:rsidRPr="00023F2C">
              <w:rPr>
                <w:rFonts w:asciiTheme="minorHAnsi" w:hAnsiTheme="minorHAnsi"/>
              </w:rPr>
              <w:t xml:space="preserve"> </w:t>
            </w:r>
            <w:r w:rsidRPr="00023F2C">
              <w:rPr>
                <w:rFonts w:asciiTheme="minorHAnsi" w:hAnsiTheme="minorHAnsi"/>
              </w:rPr>
              <w:t>specifikuj</w:t>
            </w:r>
            <w:r w:rsidR="00EF278F" w:rsidRPr="00023F2C">
              <w:rPr>
                <w:rFonts w:asciiTheme="minorHAnsi" w:hAnsiTheme="minorHAnsi"/>
              </w:rPr>
              <w:t>e</w:t>
            </w:r>
            <w:r w:rsidRPr="00023F2C">
              <w:rPr>
                <w:rFonts w:asciiTheme="minorHAnsi" w:hAnsiTheme="minorHAnsi"/>
              </w:rPr>
              <w:t xml:space="preserve"> jeho </w:t>
            </w:r>
            <w:hyperlink r:id="rId5" w:history="1">
              <w:r w:rsidRPr="00023F2C">
                <w:rPr>
                  <w:rStyle w:val="Hypertextovodkaz"/>
                  <w:rFonts w:asciiTheme="minorHAnsi" w:hAnsiTheme="minorHAnsi" w:cs="Times New Roman"/>
                </w:rPr>
                <w:t>Sta</w:t>
              </w:r>
              <w:r w:rsidRPr="00023F2C">
                <w:rPr>
                  <w:rStyle w:val="Hypertextovodkaz"/>
                  <w:rFonts w:asciiTheme="minorHAnsi" w:hAnsiTheme="minorHAnsi" w:cs="Times New Roman"/>
                </w:rPr>
                <w:t>tut</w:t>
              </w:r>
            </w:hyperlink>
            <w:r w:rsidRPr="00023F2C">
              <w:rPr>
                <w:rFonts w:asciiTheme="minorHAnsi" w:hAnsiTheme="minorHAnsi"/>
              </w:rPr>
              <w:t>.</w:t>
            </w:r>
          </w:p>
        </w:tc>
      </w:tr>
      <w:tr w:rsidR="00E25613" w:rsidRPr="00023F2C" w14:paraId="79F8B795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89917D" w14:textId="77777777"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3.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9F301F" w14:textId="77777777"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Organizační struktura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A05C237" w14:textId="17299417" w:rsidR="00D65064" w:rsidRPr="00023F2C" w:rsidRDefault="00000000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6" w:history="1">
              <w:r w:rsidR="001C3559" w:rsidRPr="000C1B1C">
                <w:rPr>
                  <w:rStyle w:val="Hypertextovodkaz"/>
                  <w:rFonts w:ascii="Calibri" w:hAnsi="Calibri" w:cs="Times New Roman"/>
                </w:rPr>
                <w:t>https://www.crr.cz/o-nas/organizacni-struktura/</w:t>
              </w:r>
            </w:hyperlink>
            <w:r w:rsidR="001C3559">
              <w:t xml:space="preserve"> </w:t>
            </w:r>
          </w:p>
        </w:tc>
      </w:tr>
      <w:tr w:rsidR="00C70190" w:rsidRPr="00023F2C" w14:paraId="704DCAA2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A7B5C8" w14:textId="77777777" w:rsidR="00C70190" w:rsidRPr="00023F2C" w:rsidRDefault="00C70190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163174" w14:textId="77777777" w:rsidR="00C70190" w:rsidRPr="00023F2C" w:rsidRDefault="00C70190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Kontaktní spojení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DB7824" w14:textId="1011DCBD" w:rsidR="00C70190" w:rsidRPr="00C70190" w:rsidRDefault="00C70190" w:rsidP="00C70190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C70190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Elektronická adresa podatelny: </w:t>
            </w:r>
            <w:hyperlink r:id="rId7" w:history="1">
              <w:r w:rsidRPr="000C1B1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podatelna@crr.cz</w:t>
              </w:r>
            </w:hyperlink>
            <w:r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</w:t>
            </w:r>
          </w:p>
          <w:p w14:paraId="1DF58DCE" w14:textId="7AC916C3" w:rsidR="00C70190" w:rsidRPr="00023F2C" w:rsidRDefault="00C70190" w:rsidP="00C70190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C70190">
              <w:rPr>
                <w:rFonts w:asciiTheme="minorHAnsi" w:eastAsia="Times New Roman" w:hAnsiTheme="minorHAnsi" w:cs="Arial"/>
                <w:color w:val="000000"/>
                <w:lang w:eastAsia="cs-CZ"/>
              </w:rPr>
              <w:t>ID datové schránky: mt6427q</w:t>
            </w:r>
          </w:p>
        </w:tc>
      </w:tr>
      <w:tr w:rsidR="00E25613" w:rsidRPr="00023F2C" w14:paraId="4ED454AC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63AEE5" w14:textId="77777777"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4.1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23985BF" w14:textId="77777777"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Kontaktní poštovní adresa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3CCC24A" w14:textId="77777777" w:rsidR="0088284F" w:rsidRPr="00023F2C" w:rsidRDefault="0088284F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Sídlo: </w:t>
            </w:r>
          </w:p>
          <w:p w14:paraId="61463273" w14:textId="77777777" w:rsidR="0088284F" w:rsidRPr="00023F2C" w:rsidRDefault="0088284F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Centrum </w:t>
            </w:r>
            <w:r w:rsidR="00E25613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pro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regionální 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rozvoj České republiky</w:t>
            </w:r>
          </w:p>
          <w:p w14:paraId="5D0A4E00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U Nákladového nádraží 3144/4</w:t>
            </w:r>
          </w:p>
          <w:p w14:paraId="6F5F493D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130 00 Praha 3 – Strašnice</w:t>
            </w:r>
          </w:p>
          <w:p w14:paraId="358990F0" w14:textId="03B57CBF" w:rsidR="00D65064" w:rsidRDefault="00D65064" w:rsidP="00D6506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  <w:t>na této adrese sídlí také:</w:t>
            </w:r>
          </w:p>
          <w:p w14:paraId="647F5F16" w14:textId="4B604028" w:rsidR="00746B2D" w:rsidRPr="00746B2D" w:rsidRDefault="00746B2D" w:rsidP="00D6506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iCs/>
                <w:kern w:val="36"/>
                <w:lang w:eastAsia="cs-CZ"/>
              </w:rPr>
            </w:pPr>
            <w:r w:rsidRPr="00746B2D">
              <w:rPr>
                <w:rFonts w:eastAsia="Times New Roman" w:cs="Arial"/>
                <w:i/>
                <w:iCs/>
                <w:kern w:val="36"/>
                <w:lang w:eastAsia="cs-CZ"/>
              </w:rPr>
              <w:t>Odbor centrální administrace</w:t>
            </w:r>
          </w:p>
          <w:p w14:paraId="798A10B0" w14:textId="3265BAA1" w:rsidR="00D65064" w:rsidRPr="00746B2D" w:rsidRDefault="00746B2D" w:rsidP="00D6506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i/>
              </w:rPr>
            </w:pPr>
            <w:r w:rsidRPr="00746B2D">
              <w:rPr>
                <w:rStyle w:val="Siln"/>
                <w:rFonts w:asciiTheme="minorHAnsi" w:hAnsiTheme="minorHAnsi"/>
                <w:b w:val="0"/>
                <w:i/>
              </w:rPr>
              <w:t>Územní odbor IROP pro Středočeský kraj</w:t>
            </w:r>
          </w:p>
          <w:p w14:paraId="40AF3768" w14:textId="77777777" w:rsidR="00D65064" w:rsidRPr="00023F2C" w:rsidRDefault="00D65064" w:rsidP="00D6506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i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</w:rPr>
              <w:t>Oddělení Enterprise Europe Network</w:t>
            </w:r>
          </w:p>
          <w:p w14:paraId="1CED7A35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</w:pPr>
          </w:p>
          <w:p w14:paraId="5D760C88" w14:textId="77777777" w:rsidR="00934961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Ostatní pracoviště:</w:t>
            </w:r>
          </w:p>
          <w:p w14:paraId="14CBAFF9" w14:textId="77777777" w:rsidR="00934961" w:rsidRPr="00023F2C" w:rsidRDefault="00A75A66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Jihočeský kraj</w:t>
            </w:r>
          </w:p>
          <w:p w14:paraId="652AB2E1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/>
                <w:bCs/>
                <w:lang w:eastAsia="cs-CZ"/>
              </w:rPr>
              <w:t xml:space="preserve">L. B. Schneidera </w:t>
            </w:r>
            <w:r w:rsidRPr="00023F2C">
              <w:rPr>
                <w:rFonts w:asciiTheme="minorHAnsi" w:hAnsiTheme="minorHAnsi"/>
              </w:rPr>
              <w:t>362/32, 370 01 České Budějovice</w:t>
            </w:r>
          </w:p>
          <w:p w14:paraId="321D5042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>Plzeňsk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ý kraj</w:t>
            </w:r>
          </w:p>
          <w:p w14:paraId="299CCABF" w14:textId="77777777" w:rsidR="00D65064" w:rsidRPr="00023F2C" w:rsidRDefault="00D65064" w:rsidP="00D65064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17. listopadu 1926/1, 301 00 Plzeň</w:t>
            </w:r>
          </w:p>
          <w:p w14:paraId="7F1AC1E5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lastRenderedPageBreak/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Karlovarský kraj</w:t>
            </w:r>
          </w:p>
          <w:p w14:paraId="408D7D74" w14:textId="77777777" w:rsidR="00D65064" w:rsidRPr="00023F2C" w:rsidRDefault="00D65064" w:rsidP="00D65064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Závodní 391/96C, 360 06 Karlovy Vary</w:t>
            </w:r>
          </w:p>
          <w:p w14:paraId="0F12B05F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Ústecký kraj</w:t>
            </w:r>
          </w:p>
          <w:p w14:paraId="5B04EF32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Dvořákova 3134/2, 400 01 Ústí nad Labem</w:t>
            </w:r>
          </w:p>
          <w:p w14:paraId="67594454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Liberecký kraj</w:t>
            </w:r>
          </w:p>
          <w:p w14:paraId="669F2B52" w14:textId="77777777" w:rsidR="00CA77B3" w:rsidRPr="00023F2C" w:rsidRDefault="00991798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>
              <w:t>U Jezu 525/4, 460 01 Liberec</w:t>
            </w:r>
          </w:p>
          <w:p w14:paraId="034DDCB5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Královéhradecký kraj</w:t>
            </w:r>
          </w:p>
          <w:p w14:paraId="5D18BF27" w14:textId="77777777" w:rsidR="00CA77B3" w:rsidRPr="00023F2C" w:rsidRDefault="00D65064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Švendova 1282, 500 03 Hradec Králové</w:t>
            </w:r>
          </w:p>
          <w:p w14:paraId="196A2C3D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>Pardubický kraj</w:t>
            </w:r>
          </w:p>
          <w:p w14:paraId="192FEE50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náměstí Republiky 12, 530 02 Pardubice</w:t>
            </w:r>
          </w:p>
          <w:p w14:paraId="5ED637D8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Kraj Vysočina </w:t>
            </w:r>
          </w:p>
          <w:p w14:paraId="5B294FEE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Brněnská 2806/71, 586 01 Jihlava</w:t>
            </w:r>
          </w:p>
          <w:p w14:paraId="5AEC3DF8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Územní odbor IROP pro </w:t>
            </w:r>
            <w:r w:rsidR="00CA77B3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Jihomoravs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ký kraj</w:t>
            </w:r>
          </w:p>
          <w:p w14:paraId="34122B23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  <w:p w14:paraId="380DA19A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Zlínský kraj</w:t>
            </w:r>
          </w:p>
          <w:p w14:paraId="7DFD5A26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J. A. Bati 5648 (budova max 32), 760 01 Zlín</w:t>
            </w:r>
          </w:p>
          <w:p w14:paraId="7B784F66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Územní odbor IROP pro </w:t>
            </w:r>
            <w:r w:rsidR="00CA77B3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Olomoucký kraj </w:t>
            </w:r>
          </w:p>
          <w:p w14:paraId="518AF5F6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Hálkova 171/2, 779 00 Olomouc</w:t>
            </w:r>
          </w:p>
          <w:p w14:paraId="5B0ACC96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Moravskoslezský kraj</w:t>
            </w:r>
          </w:p>
          <w:p w14:paraId="485777C0" w14:textId="77777777" w:rsidR="00CA77B3" w:rsidRPr="00023F2C" w:rsidRDefault="00D65064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30. dubna 635/35, 702 00 Ostrava</w:t>
            </w:r>
          </w:p>
          <w:p w14:paraId="5E99D1BF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Jihozápad (EÚS</w:t>
            </w:r>
            <w:r w:rsidR="00991798">
              <w:rPr>
                <w:rFonts w:asciiTheme="minorHAnsi" w:eastAsia="Times New Roman" w:hAnsiTheme="minorHAnsi"/>
                <w:bCs/>
                <w:i/>
                <w:lang w:eastAsia="cs-CZ"/>
              </w:rPr>
              <w:t>)</w:t>
            </w:r>
          </w:p>
          <w:p w14:paraId="4E1073CA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Otakara Ševčíka 1943, 397 01 Písek</w:t>
            </w:r>
          </w:p>
          <w:p w14:paraId="6836D955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Severozápad (EÚS)</w:t>
            </w:r>
          </w:p>
          <w:p w14:paraId="1B3C80A0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lang w:eastAsia="cs-CZ"/>
              </w:rPr>
              <w:t>Školní 5335, 430 01 Chomutov</w:t>
            </w:r>
          </w:p>
          <w:p w14:paraId="7B1F3F6E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Severovýchod (EÚS)</w:t>
            </w:r>
          </w:p>
          <w:p w14:paraId="78D15FD6" w14:textId="77777777" w:rsidR="00D65064" w:rsidRPr="00023F2C" w:rsidRDefault="00D65064" w:rsidP="00D65064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Švendova 1282, 500 03 Hradec Králové</w:t>
            </w:r>
          </w:p>
          <w:p w14:paraId="13567EC5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Oddělení 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pro NUTS II Jihovýchod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7849FFF0" w14:textId="77777777" w:rsidR="0088284F" w:rsidRPr="00023F2C" w:rsidRDefault="00CA77B3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  <w:p w14:paraId="49EC991E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Oddělení 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pro NUTS II Střední Morava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14BAE25A" w14:textId="77777777" w:rsidR="0088284F" w:rsidRPr="00023F2C" w:rsidRDefault="00CA77B3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Hálkova 171/2, 779 00 Olomouc</w:t>
            </w:r>
          </w:p>
          <w:p w14:paraId="608A50FD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ro NUTS II Moravskoslezsko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3551DFE3" w14:textId="77777777" w:rsidR="00D65064" w:rsidRPr="00023F2C" w:rsidRDefault="00D65064" w:rsidP="00D65064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30. dubna 635/35, 702 00 Ostrava</w:t>
            </w:r>
          </w:p>
          <w:p w14:paraId="2106E979" w14:textId="77777777" w:rsidR="0088284F" w:rsidRPr="00023F2C" w:rsidRDefault="0088284F" w:rsidP="0088284F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>Společný sekretariát ČR-Polsko</w:t>
            </w:r>
            <w:r w:rsidR="00934961"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="00934961" w:rsidRPr="00023F2C">
              <w:rPr>
                <w:rFonts w:asciiTheme="minorHAnsi" w:hAnsiTheme="minorHAnsi"/>
                <w:bCs/>
                <w:i/>
                <w:sz w:val="22"/>
                <w:szCs w:val="22"/>
              </w:rPr>
              <w:t>(EÚS)</w:t>
            </w:r>
          </w:p>
          <w:p w14:paraId="213790EA" w14:textId="77777777" w:rsidR="0088284F" w:rsidRPr="00023F2C" w:rsidRDefault="00CA77B3" w:rsidP="00934961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Hálkova 171/2, 779 00 Olomouc</w:t>
            </w:r>
          </w:p>
          <w:p w14:paraId="6BBF1F32" w14:textId="77777777" w:rsidR="00CA77B3" w:rsidRPr="00023F2C" w:rsidRDefault="00CA77B3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 xml:space="preserve">Společný sekretariát Rakousko-ČR </w:t>
            </w:r>
            <w:r w:rsidRPr="00023F2C">
              <w:rPr>
                <w:rFonts w:asciiTheme="minorHAnsi" w:hAnsiTheme="minorHAnsi"/>
                <w:bCs/>
                <w:i/>
                <w:sz w:val="22"/>
                <w:szCs w:val="22"/>
              </w:rPr>
              <w:t>(EÚS)</w:t>
            </w:r>
          </w:p>
          <w:p w14:paraId="1E1CB83A" w14:textId="77777777" w:rsidR="00934961" w:rsidRPr="00023F2C" w:rsidRDefault="00CA77B3" w:rsidP="00CF4077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lastRenderedPageBreak/>
              <w:t>Mariánské náměstí 617/1, 617 00 Brno - Komárov</w:t>
            </w:r>
          </w:p>
        </w:tc>
      </w:tr>
      <w:tr w:rsidR="00E25613" w:rsidRPr="00023F2C" w14:paraId="2DC4F5D0" w14:textId="77777777" w:rsidTr="00C70190">
        <w:trPr>
          <w:trHeight w:val="79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C12EE3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lastRenderedPageBreak/>
              <w:t>4.2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830A398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úřadovny pro osobní návštěvu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D00ABA0" w14:textId="77777777" w:rsidR="00E25613" w:rsidRPr="00023F2C" w:rsidRDefault="0088044C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Pro osobní návštěvu lze využít všech pracovišť 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entra</w:t>
            </w:r>
            <w:r w:rsidR="00432526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 </w:t>
            </w: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uvedených v bodě 4.1.</w:t>
            </w:r>
          </w:p>
        </w:tc>
      </w:tr>
      <w:tr w:rsidR="00E25613" w:rsidRPr="00023F2C" w14:paraId="318FF965" w14:textId="77777777" w:rsidTr="00C70190">
        <w:trPr>
          <w:trHeight w:val="827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16FA7C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49463A8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Úřední hodiny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BBFDA34" w14:textId="77777777" w:rsidR="00D8014C" w:rsidRPr="00023F2C" w:rsidRDefault="00D8014C" w:rsidP="0088044C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Sekretariát C</w:t>
            </w:r>
            <w:r w:rsidR="00EF278F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:</w:t>
            </w:r>
          </w:p>
          <w:p w14:paraId="3A22E33E" w14:textId="5027D986" w:rsidR="00D8014C" w:rsidRPr="00023F2C" w:rsidRDefault="00D8014C" w:rsidP="00D8014C">
            <w:pPr>
              <w:spacing w:after="0" w:line="336" w:lineRule="atLeast"/>
              <w:ind w:left="2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Pondělí až Čtvrtek: 8:</w:t>
            </w:r>
            <w:r w:rsidR="00805DAF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- 1</w:t>
            </w:r>
            <w:r w:rsidR="00A62CB0">
              <w:rPr>
                <w:rFonts w:asciiTheme="minorHAnsi" w:eastAsia="Times New Roman" w:hAnsiTheme="minorHAnsi" w:cs="Arial"/>
                <w:color w:val="000000"/>
                <w:lang w:eastAsia="cs-CZ"/>
              </w:rPr>
              <w:t>5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</w:p>
          <w:p w14:paraId="6774A028" w14:textId="1AAA59D6" w:rsidR="00D8014C" w:rsidRPr="00023F2C" w:rsidRDefault="00D8014C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Pátek: 8:</w:t>
            </w:r>
            <w:r w:rsidR="00805DAF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- 1</w:t>
            </w:r>
            <w:r w:rsidR="00062D7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5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</w:t>
            </w:r>
            <w:r w:rsidR="00A44A90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</w:p>
          <w:p w14:paraId="0031082F" w14:textId="77777777" w:rsidR="00E25613" w:rsidRPr="00023F2C" w:rsidRDefault="00934961" w:rsidP="00D65064">
            <w:pPr>
              <w:spacing w:before="240" w:after="24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Regionální pracoviště</w:t>
            </w:r>
            <w:r w:rsidR="00D8014C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:</w:t>
            </w:r>
            <w:r w:rsidR="00D65064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 xml:space="preserve"> </w:t>
            </w:r>
            <w:r w:rsidR="00D65064"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 xml:space="preserve">v pracovní dny </w:t>
            </w:r>
            <w:r w:rsidR="00F67B88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9</w:t>
            </w:r>
            <w:r w:rsidR="00E2561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:00 - 1</w:t>
            </w:r>
            <w:r w:rsidR="0088044C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4</w:t>
            </w:r>
            <w:r w:rsidR="00E2561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:00</w:t>
            </w:r>
          </w:p>
          <w:p w14:paraId="7413AAE5" w14:textId="7D0B4AF2" w:rsidR="00D65064" w:rsidRPr="00023F2C" w:rsidRDefault="00D8014C" w:rsidP="00D65064">
            <w:pPr>
              <w:spacing w:after="0" w:line="336" w:lineRule="atLeast"/>
              <w:ind w:left="2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Jedná</w:t>
            </w:r>
            <w:r w:rsidR="00934961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n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í s konkrétním pracovníkem C</w:t>
            </w:r>
            <w:r w:rsidR="00EF278F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entra</w:t>
            </w:r>
            <w:r w:rsidR="00062D7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nebo činnost podatelny mimo uvedené úřední hodiny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je třeba předem dohodnout telefonicky nebo </w:t>
            </w:r>
            <w:r w:rsidR="00C70190">
              <w:rPr>
                <w:rFonts w:asciiTheme="minorHAnsi" w:eastAsia="Times New Roman" w:hAnsiTheme="minorHAnsi" w:cs="Arial"/>
                <w:color w:val="000000"/>
                <w:lang w:eastAsia="cs-CZ"/>
              </w:rPr>
              <w:t>e-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mailem.</w:t>
            </w:r>
          </w:p>
        </w:tc>
      </w:tr>
      <w:tr w:rsidR="00E25613" w:rsidRPr="00023F2C" w14:paraId="6D8101D4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B5F769F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4.4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56B749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Telefonní čísla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1C2395F" w14:textId="3E77DDD5" w:rsidR="00E25613" w:rsidRPr="00023F2C" w:rsidRDefault="00EF56B4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Centrála: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Pr="00023F2C">
              <w:rPr>
                <w:rFonts w:asciiTheme="minorHAnsi" w:hAnsiTheme="minorHAnsi"/>
              </w:rPr>
              <w:t>22</w:t>
            </w:r>
            <w:r w:rsidR="00D65064" w:rsidRPr="00023F2C">
              <w:rPr>
                <w:rFonts w:asciiTheme="minorHAnsi" w:hAnsiTheme="minorHAnsi"/>
              </w:rPr>
              <w:t>5</w:t>
            </w:r>
            <w:r w:rsidRPr="00023F2C">
              <w:rPr>
                <w:rFonts w:asciiTheme="minorHAnsi" w:hAnsiTheme="minorHAnsi"/>
              </w:rPr>
              <w:t xml:space="preserve"> </w:t>
            </w:r>
            <w:r w:rsidR="00D65064" w:rsidRPr="00023F2C">
              <w:rPr>
                <w:rFonts w:asciiTheme="minorHAnsi" w:hAnsiTheme="minorHAnsi"/>
              </w:rPr>
              <w:t>855 200</w:t>
            </w:r>
          </w:p>
          <w:p w14:paraId="231FC0CA" w14:textId="68E1B2F2" w:rsidR="00EF56B4" w:rsidRPr="00023F2C" w:rsidRDefault="00EF56B4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Střední Čechy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07B8F" w:rsidRPr="00807B8F">
              <w:rPr>
                <w:rFonts w:asciiTheme="minorHAnsi" w:hAnsiTheme="minorHAnsi"/>
              </w:rPr>
              <w:t>724 251 867</w:t>
            </w:r>
          </w:p>
          <w:p w14:paraId="1433BF9B" w14:textId="559166B2" w:rsidR="00934961" w:rsidRPr="00023F2C" w:rsidRDefault="00934961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České Budějovice: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07B8F" w:rsidRPr="00807B8F">
              <w:rPr>
                <w:rFonts w:asciiTheme="minorHAnsi" w:hAnsiTheme="minorHAnsi"/>
              </w:rPr>
              <w:t>703 186 821</w:t>
            </w:r>
          </w:p>
          <w:p w14:paraId="204A55F5" w14:textId="5D816A43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Plzeň: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07B8F" w:rsidRPr="00807B8F">
              <w:rPr>
                <w:rFonts w:asciiTheme="minorHAnsi" w:hAnsiTheme="minorHAnsi"/>
              </w:rPr>
              <w:t>703 186 836</w:t>
            </w:r>
          </w:p>
          <w:p w14:paraId="5ED057C4" w14:textId="24288EC0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</w:rPr>
            </w:pPr>
            <w:r w:rsidRPr="00023F2C">
              <w:rPr>
                <w:rFonts w:asciiTheme="minorHAnsi" w:hAnsiTheme="minorHAnsi"/>
              </w:rPr>
              <w:t xml:space="preserve">Karlovy Vary: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07B8F" w:rsidRPr="00807B8F">
              <w:rPr>
                <w:rFonts w:asciiTheme="minorHAnsi" w:hAnsiTheme="minorHAnsi"/>
              </w:rPr>
              <w:t>736 527 897</w:t>
            </w:r>
          </w:p>
          <w:p w14:paraId="79C3EA25" w14:textId="151643A6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Ústí nad Labem: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07B8F" w:rsidRPr="00807B8F">
              <w:rPr>
                <w:rFonts w:asciiTheme="minorHAnsi" w:hAnsiTheme="minorHAnsi"/>
              </w:rPr>
              <w:t>736 512 421</w:t>
            </w:r>
          </w:p>
          <w:p w14:paraId="6BFA7584" w14:textId="3AA89EF9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Liberec: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07B8F" w:rsidRPr="00807B8F">
              <w:rPr>
                <w:rFonts w:asciiTheme="minorHAnsi" w:hAnsiTheme="minorHAnsi"/>
              </w:rPr>
              <w:t>704 986 521</w:t>
            </w:r>
          </w:p>
          <w:p w14:paraId="027B2E56" w14:textId="13EBC344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Hradec Králové –IROP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807B8F" w:rsidRPr="00807B8F">
              <w:rPr>
                <w:rFonts w:asciiTheme="minorHAnsi" w:hAnsiTheme="minorHAnsi"/>
              </w:rPr>
              <w:t>734 166 385</w:t>
            </w:r>
            <w:r w:rsidR="00023F2C">
              <w:rPr>
                <w:rFonts w:asciiTheme="minorHAnsi" w:hAnsiTheme="minorHAnsi"/>
              </w:rPr>
              <w:t>/</w:t>
            </w:r>
            <w:r w:rsidR="00807B8F" w:rsidRPr="00807B8F">
              <w:rPr>
                <w:rFonts w:asciiTheme="minorHAnsi" w:hAnsiTheme="minorHAnsi"/>
              </w:rPr>
              <w:t>606 141 727</w:t>
            </w:r>
          </w:p>
          <w:p w14:paraId="4AAD4394" w14:textId="4688ABAC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Pardubice: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072CB9" w:rsidRPr="00072CB9">
              <w:rPr>
                <w:rFonts w:asciiTheme="minorHAnsi" w:hAnsiTheme="minorHAnsi"/>
              </w:rPr>
              <w:t>703 186 966</w:t>
            </w:r>
          </w:p>
          <w:p w14:paraId="7406504B" w14:textId="59A4EF7E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J</w:t>
            </w:r>
            <w:r w:rsidR="00EB019F" w:rsidRPr="00023F2C">
              <w:rPr>
                <w:rFonts w:asciiTheme="minorHAnsi" w:hAnsiTheme="minorHAnsi"/>
              </w:rPr>
              <w:t xml:space="preserve">ihlava: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072CB9" w:rsidRPr="00072CB9">
              <w:rPr>
                <w:rFonts w:asciiTheme="minorHAnsi" w:hAnsiTheme="minorHAnsi"/>
              </w:rPr>
              <w:t>731 697 946</w:t>
            </w:r>
          </w:p>
          <w:p w14:paraId="314341B0" w14:textId="105D44E4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Brno 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94F9E" w:rsidRPr="00894F9E">
              <w:rPr>
                <w:rFonts w:asciiTheme="minorHAnsi" w:hAnsiTheme="minorHAnsi"/>
              </w:rPr>
              <w:t>705 875 702</w:t>
            </w:r>
            <w:r w:rsidR="00023F2C">
              <w:rPr>
                <w:rFonts w:asciiTheme="minorHAnsi" w:hAnsiTheme="minorHAnsi"/>
              </w:rPr>
              <w:t>/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94F9E" w:rsidRPr="00894F9E">
              <w:t>602 159 099</w:t>
            </w:r>
          </w:p>
          <w:p w14:paraId="7C3BBAE6" w14:textId="40979638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Zlín: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94F9E" w:rsidRPr="00894F9E">
              <w:rPr>
                <w:rFonts w:asciiTheme="minorHAnsi" w:hAnsiTheme="minorHAnsi"/>
              </w:rPr>
              <w:t>739 320 641</w:t>
            </w:r>
          </w:p>
          <w:p w14:paraId="1A7E1214" w14:textId="615534C8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Olomouc 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: </w:t>
            </w:r>
            <w:r w:rsidR="00894F9E" w:rsidRPr="00894F9E">
              <w:rPr>
                <w:rFonts w:asciiTheme="minorHAnsi" w:hAnsiTheme="minorHAnsi"/>
              </w:rPr>
              <w:t>734 166 393</w:t>
            </w:r>
            <w:r w:rsidR="00023F2C">
              <w:rPr>
                <w:rFonts w:asciiTheme="minorHAnsi" w:hAnsiTheme="minorHAnsi"/>
              </w:rPr>
              <w:t>/</w:t>
            </w:r>
            <w:r w:rsidR="00894F9E" w:rsidRPr="00894F9E">
              <w:t>735 199 201</w:t>
            </w:r>
          </w:p>
          <w:p w14:paraId="71883AF1" w14:textId="1464D4E3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Ostrava </w:t>
            </w:r>
            <w:r w:rsidRPr="00023F2C">
              <w:rPr>
                <w:rFonts w:asciiTheme="minorHAnsi" w:hAnsiTheme="minorHAnsi"/>
              </w:rPr>
              <w:t xml:space="preserve">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</w:t>
            </w:r>
            <w:r w:rsidR="00991798">
              <w:rPr>
                <w:rStyle w:val="Siln"/>
                <w:rFonts w:asciiTheme="minorHAnsi" w:hAnsiTheme="minorHAnsi"/>
                <w:b w:val="0"/>
              </w:rPr>
              <w:t>R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OP/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EÚS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894F9E" w:rsidRPr="00894F9E">
              <w:rPr>
                <w:rFonts w:asciiTheme="minorHAnsi" w:hAnsiTheme="minorHAnsi"/>
              </w:rPr>
              <w:t>703 186 962</w:t>
            </w:r>
            <w:r w:rsidR="00023F2C">
              <w:rPr>
                <w:rFonts w:asciiTheme="minorHAnsi" w:hAnsiTheme="minorHAnsi"/>
              </w:rPr>
              <w:t>/</w:t>
            </w:r>
            <w:r w:rsidR="00894F9E" w:rsidRPr="00894F9E">
              <w:t>731 645 189</w:t>
            </w:r>
          </w:p>
          <w:p w14:paraId="124A19CD" w14:textId="43511C58" w:rsidR="00EF56B4" w:rsidRPr="00023F2C" w:rsidRDefault="00934961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Písek</w:t>
            </w:r>
            <w:r w:rsidR="00EF56B4" w:rsidRPr="00023F2C">
              <w:rPr>
                <w:rFonts w:asciiTheme="minorHAnsi" w:hAnsiTheme="minorHAnsi"/>
              </w:rPr>
              <w:t xml:space="preserve">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94F9E" w:rsidRPr="00894F9E">
              <w:rPr>
                <w:rFonts w:asciiTheme="minorHAnsi" w:hAnsiTheme="minorHAnsi"/>
              </w:rPr>
              <w:t>725 793 626</w:t>
            </w:r>
          </w:p>
          <w:p w14:paraId="3FCC96D4" w14:textId="2BE21F6C" w:rsidR="00934961" w:rsidRPr="00023F2C" w:rsidRDefault="00023F2C" w:rsidP="00934961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Chomutov: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94F9E" w:rsidRPr="00894F9E">
              <w:rPr>
                <w:rFonts w:asciiTheme="minorHAnsi" w:hAnsiTheme="minorHAnsi"/>
              </w:rPr>
              <w:t>725 793 624</w:t>
            </w:r>
          </w:p>
          <w:p w14:paraId="26C31630" w14:textId="3C4091F7" w:rsidR="00EF56B4" w:rsidRPr="00023F2C" w:rsidRDefault="00EF56B4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JS</w:t>
            </w:r>
            <w:r w:rsidR="00CF4077" w:rsidRPr="00023F2C">
              <w:rPr>
                <w:rFonts w:asciiTheme="minorHAnsi" w:hAnsiTheme="minorHAnsi"/>
              </w:rPr>
              <w:t xml:space="preserve"> </w:t>
            </w:r>
            <w:r w:rsidR="00825EC2">
              <w:rPr>
                <w:rFonts w:asciiTheme="minorHAnsi" w:hAnsiTheme="minorHAnsi"/>
              </w:rPr>
              <w:t>ČR-PL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94F9E" w:rsidRPr="00894F9E">
              <w:rPr>
                <w:rFonts w:asciiTheme="minorHAnsi" w:hAnsiTheme="minorHAnsi"/>
              </w:rPr>
              <w:t>736 511 133</w:t>
            </w:r>
          </w:p>
          <w:p w14:paraId="2536FABE" w14:textId="2F817D36" w:rsidR="00825EC2" w:rsidRDefault="00CF4077" w:rsidP="00825EC2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JS </w:t>
            </w:r>
            <w:r w:rsidR="00825EC2">
              <w:rPr>
                <w:rFonts w:asciiTheme="minorHAnsi" w:hAnsiTheme="minorHAnsi"/>
              </w:rPr>
              <w:t>ČR-AT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94F9E" w:rsidRPr="00894F9E">
              <w:rPr>
                <w:rFonts w:asciiTheme="minorHAnsi" w:hAnsiTheme="minorHAnsi"/>
              </w:rPr>
              <w:t>739 547 386</w:t>
            </w:r>
          </w:p>
          <w:p w14:paraId="493E138E" w14:textId="4B12CD97" w:rsidR="00CF4077" w:rsidRPr="00023F2C" w:rsidRDefault="00825EC2" w:rsidP="00825EC2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 ČR-SR: </w:t>
            </w:r>
            <w:r w:rsidR="00894F9E">
              <w:rPr>
                <w:rFonts w:asciiTheme="minorHAnsi" w:hAnsiTheme="minorHAnsi"/>
              </w:rPr>
              <w:t xml:space="preserve">+420 </w:t>
            </w:r>
            <w:r w:rsidR="00894F9E" w:rsidRPr="00894F9E">
              <w:t>602 159 099</w:t>
            </w:r>
          </w:p>
        </w:tc>
      </w:tr>
      <w:tr w:rsidR="00E25613" w:rsidRPr="00023F2C" w14:paraId="163DDB06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886E8F" w14:textId="6962BFD0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</w:t>
            </w:r>
            <w:r w:rsidR="00C656A9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608ACEC" w14:textId="677ED893" w:rsidR="00F467F1" w:rsidRPr="00023F2C" w:rsidRDefault="00E25613" w:rsidP="00894F9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 xml:space="preserve">Adresa </w:t>
            </w:r>
            <w:r w:rsidR="00894F9E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internetových stránek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9C8C517" w14:textId="38873F89" w:rsidR="00F467F1" w:rsidRPr="00894F9E" w:rsidRDefault="00000000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</w:pPr>
            <w:hyperlink r:id="rId8" w:history="1">
              <w:r w:rsidR="00F467F1" w:rsidRPr="00023F2C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http://www.crr.cz</w:t>
              </w:r>
            </w:hyperlink>
            <w:r w:rsidR="00F467F1" w:rsidRPr="00023F2C"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  <w:t xml:space="preserve">  </w:t>
            </w:r>
            <w:r w:rsidR="00062D7B" w:rsidRPr="00023F2C"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  <w:t xml:space="preserve"> </w:t>
            </w:r>
          </w:p>
        </w:tc>
      </w:tr>
      <w:tr w:rsidR="00E25613" w:rsidRPr="00023F2C" w14:paraId="5B7CE78A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E083C96" w14:textId="2CF51FF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</w:t>
            </w:r>
            <w:r w:rsidR="00C656A9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09244D" w14:textId="5DB116ED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podatelny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E07D1B4" w14:textId="052D867A" w:rsidR="006A0050" w:rsidRDefault="006A0050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6A0050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U Nákladového nádraží 3144/4, 130 00 Praha 3 – Strašnice</w:t>
            </w:r>
          </w:p>
          <w:p w14:paraId="72210420" w14:textId="4D97B551" w:rsidR="006A0050" w:rsidRPr="006A0050" w:rsidRDefault="006A0050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Pravidla pro doručování dokumentů jsou uvedeny na </w:t>
            </w:r>
            <w:hyperlink r:id="rId9" w:history="1">
              <w:r w:rsidRPr="000C1B1C">
                <w:rPr>
                  <w:rStyle w:val="Hypertextovodkaz"/>
                  <w:rFonts w:asciiTheme="minorHAnsi" w:hAnsiTheme="minorHAnsi" w:cstheme="minorHAnsi"/>
                  <w:shd w:val="clear" w:color="auto" w:fill="FFFFFF"/>
                </w:rPr>
                <w:t>https://www.crr.cz/kontakty/pravidla-pro-prijimani-dokumentu/</w:t>
              </w:r>
            </w:hyperlink>
            <w:r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. </w:t>
            </w:r>
          </w:p>
          <w:p w14:paraId="397BBFE1" w14:textId="2C653A87" w:rsidR="00AB2DA5" w:rsidRPr="00023F2C" w:rsidRDefault="00AB2DA5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</w:p>
        </w:tc>
      </w:tr>
      <w:tr w:rsidR="00E25613" w:rsidRPr="00023F2C" w14:paraId="37FDADEF" w14:textId="77777777" w:rsidTr="00321AD9">
        <w:trPr>
          <w:trHeight w:val="75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1CB79F0" w14:textId="32752A26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</w:t>
            </w:r>
            <w:r w:rsidR="006A0050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11E01A" w14:textId="1E6F0256" w:rsidR="00E25613" w:rsidRPr="00023F2C" w:rsidRDefault="006A0050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Elektronická adresa podatelny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8868B2B" w14:textId="23B96387" w:rsidR="006A0050" w:rsidRDefault="00000000" w:rsidP="006A0050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hyperlink r:id="rId10" w:history="1">
              <w:r w:rsidR="006A0050" w:rsidRPr="000C1B1C">
                <w:rPr>
                  <w:rStyle w:val="Hypertextovodkaz"/>
                  <w:rFonts w:asciiTheme="minorHAnsi" w:hAnsiTheme="minorHAnsi" w:cs="Calibri"/>
                </w:rPr>
                <w:t>podatelna@crr.cz</w:t>
              </w:r>
            </w:hyperlink>
            <w:r w:rsidR="006A0050" w:rsidRPr="00023F2C">
              <w:rPr>
                <w:rFonts w:asciiTheme="minorHAnsi" w:hAnsiTheme="minorHAnsi" w:cs="Calibri"/>
              </w:rPr>
              <w:t xml:space="preserve"> </w:t>
            </w:r>
          </w:p>
          <w:p w14:paraId="005E2D54" w14:textId="77777777" w:rsidR="00EB019F" w:rsidRPr="00023F2C" w:rsidRDefault="00EB019F" w:rsidP="00AB2DA5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A924F5" w:rsidRPr="00023F2C" w14:paraId="1EE3DB95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A066911" w14:textId="33563217" w:rsidR="00A924F5" w:rsidRPr="00023F2C" w:rsidRDefault="006A0050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2F97EBB" w14:textId="3DE8B0B3" w:rsidR="00A924F5" w:rsidRPr="00023F2C" w:rsidRDefault="006A0050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Datová schránka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C3AF7F6" w14:textId="77777777" w:rsidR="006A0050" w:rsidRPr="00023F2C" w:rsidRDefault="006A0050" w:rsidP="006A0050">
            <w:pPr>
              <w:spacing w:after="120" w:line="336" w:lineRule="atLeast"/>
              <w:jc w:val="both"/>
              <w:outlineLvl w:val="0"/>
              <w:rPr>
                <w:rFonts w:asciiTheme="minorHAnsi" w:hAnsiTheme="minorHAnsi" w:cs="Calibri"/>
                <w:b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Datová schránka</w:t>
            </w:r>
            <w:r w:rsidRPr="00023F2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23F2C">
              <w:rPr>
                <w:rFonts w:asciiTheme="minorHAnsi" w:hAnsiTheme="minorHAnsi"/>
                <w:b/>
              </w:rPr>
              <w:t>mt6427q</w:t>
            </w:r>
          </w:p>
          <w:p w14:paraId="003C9105" w14:textId="77777777" w:rsidR="006A0050" w:rsidRPr="00023F2C" w:rsidRDefault="006A0050" w:rsidP="006A0050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>Pro komunikaci týkající se projektů realizovaných v programu IROP a administrovaných na regionálních pracovištích byly zřízeny tzv. další datové schránky. Jejich seznam a id jsou uvedeny v tabulce níže: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252"/>
            </w:tblGrid>
            <w:tr w:rsidR="006A0050" w:rsidRPr="00023F2C" w14:paraId="6E497CAE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9428D6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České Budějovice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EF602E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i6pmdzk</w:t>
                  </w:r>
                </w:p>
              </w:tc>
            </w:tr>
            <w:tr w:rsidR="006A0050" w:rsidRPr="00023F2C" w14:paraId="78FAA071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41135A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Plzeň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902C27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nd9msdd</w:t>
                  </w:r>
                </w:p>
              </w:tc>
            </w:tr>
            <w:tr w:rsidR="006A0050" w:rsidRPr="00023F2C" w14:paraId="39B85CCF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A0BCE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Karlovy Vary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D3C84F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pg4mr5t</w:t>
                  </w:r>
                </w:p>
              </w:tc>
            </w:tr>
            <w:tr w:rsidR="006A0050" w:rsidRPr="00023F2C" w14:paraId="29AEA201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CD506E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Ústí nad Labem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9386FF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b8smr7u</w:t>
                  </w:r>
                </w:p>
              </w:tc>
            </w:tr>
            <w:tr w:rsidR="006A0050" w:rsidRPr="00023F2C" w14:paraId="7CAD36EE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89D123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Liberec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28FE36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huxmr6b</w:t>
                  </w:r>
                </w:p>
              </w:tc>
            </w:tr>
            <w:tr w:rsidR="006A0050" w:rsidRPr="00023F2C" w14:paraId="333E6756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213615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Hradec Králové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249394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nszmr2g</w:t>
                  </w:r>
                </w:p>
              </w:tc>
            </w:tr>
            <w:tr w:rsidR="006A0050" w:rsidRPr="00023F2C" w14:paraId="4AA518F5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0F2E86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Pardubice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78B42D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9rrmr8u</w:t>
                  </w:r>
                </w:p>
              </w:tc>
            </w:tr>
            <w:tr w:rsidR="006A0050" w:rsidRPr="00023F2C" w14:paraId="2CBA604B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BB5D86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Jihlava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FFB472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mp6msa3</w:t>
                  </w:r>
                </w:p>
              </w:tc>
            </w:tr>
            <w:tr w:rsidR="006A0050" w:rsidRPr="00023F2C" w14:paraId="2F4D2727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0CDFC9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Brno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F1E0E2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gj6mq7p</w:t>
                  </w:r>
                </w:p>
              </w:tc>
            </w:tr>
            <w:tr w:rsidR="006A0050" w:rsidRPr="00023F2C" w14:paraId="22899479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E3CFF8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Zlín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AE3DE6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f3zmsbj</w:t>
                  </w:r>
                </w:p>
              </w:tc>
            </w:tr>
            <w:tr w:rsidR="006A0050" w:rsidRPr="00023F2C" w14:paraId="03778E24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11995C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Olomouc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352921" w14:textId="7777777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whfmsav</w:t>
                  </w:r>
                  <w:proofErr w:type="spellEnd"/>
                </w:p>
              </w:tc>
            </w:tr>
            <w:tr w:rsidR="006A0050" w:rsidRPr="00023F2C" w14:paraId="02800E70" w14:textId="77777777" w:rsidTr="00D17DCC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E9A4E5" w14:textId="7F89C227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Ostrava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67BB10" w14:textId="1C1B3251" w:rsidR="006A0050" w:rsidRPr="00023F2C" w:rsidRDefault="006A0050" w:rsidP="006A0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A0050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6zdmrui</w:t>
                  </w:r>
                </w:p>
              </w:tc>
            </w:tr>
          </w:tbl>
          <w:p w14:paraId="3B71FC2B" w14:textId="110F8A57" w:rsidR="00A924F5" w:rsidRPr="00023F2C" w:rsidRDefault="00A924F5" w:rsidP="009A653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</w:p>
        </w:tc>
      </w:tr>
      <w:tr w:rsidR="00E25613" w:rsidRPr="00023F2C" w14:paraId="2A55F555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6BB46E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5.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CF59683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Případné platby lze poukázat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49BDC0F" w14:textId="77777777" w:rsidR="00E25613" w:rsidRPr="00023F2C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Číslo účtu </w:t>
            </w:r>
            <w:r w:rsidR="00EF56B4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:</w:t>
            </w:r>
            <w:r w:rsidR="00EF56B4"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  <w:r w:rsidR="005F2715" w:rsidRPr="00023F2C">
              <w:rPr>
                <w:rFonts w:asciiTheme="minorHAnsi" w:hAnsiTheme="minorHAnsi"/>
                <w:b/>
                <w:bCs/>
                <w:sz w:val="36"/>
                <w:szCs w:val="36"/>
              </w:rPr>
              <w:t>236 021/0710</w:t>
            </w:r>
          </w:p>
        </w:tc>
      </w:tr>
      <w:tr w:rsidR="00E25613" w:rsidRPr="00023F2C" w14:paraId="071C3485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B1751A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6.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8E63B44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IČ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37C6ADA" w14:textId="77777777" w:rsidR="00E25613" w:rsidRPr="00023F2C" w:rsidRDefault="00EF278F" w:rsidP="00EF56B4">
            <w:pPr>
              <w:spacing w:after="0" w:line="336" w:lineRule="atLeast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hAnsiTheme="minorHAnsi"/>
              </w:rPr>
              <w:t>04095316</w:t>
            </w:r>
          </w:p>
        </w:tc>
      </w:tr>
      <w:tr w:rsidR="00E25613" w:rsidRPr="00023F2C" w14:paraId="30A1F56F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178797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7.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B98B51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DIČ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62265A3" w14:textId="1206FD4F" w:rsidR="00E25613" w:rsidRPr="00023F2C" w:rsidRDefault="006A0050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>CRR není plátcem DPH</w:t>
            </w:r>
          </w:p>
        </w:tc>
      </w:tr>
      <w:tr w:rsidR="00E25613" w:rsidRPr="00023F2C" w14:paraId="39AE0936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517E49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166A3FD" w14:textId="77777777" w:rsidR="00E25613" w:rsidRPr="00023F2C" w:rsidRDefault="00E25613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Dokumenty</w:t>
            </w:r>
          </w:p>
        </w:tc>
      </w:tr>
      <w:tr w:rsidR="00E25613" w:rsidRPr="00023F2C" w14:paraId="72C78C21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4A43076" w14:textId="77777777" w:rsidR="00E25613" w:rsidRPr="00023F2C" w:rsidRDefault="00E25613" w:rsidP="0055612A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E40287" w14:textId="77777777" w:rsidR="00E25613" w:rsidRPr="00023F2C" w:rsidRDefault="0055612A" w:rsidP="0055612A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Seznam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hlavních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d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okumentů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B41987D" w14:textId="4E458710" w:rsidR="001A7E4D" w:rsidRDefault="0055612A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Strategická činnost </w:t>
            </w:r>
            <w:r w:rsidR="00432526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C</w:t>
            </w:r>
            <w:r w:rsidR="00EF278F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entra</w:t>
            </w:r>
            <w:r w:rsidR="00432526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 </w:t>
            </w:r>
            <w:r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vychází z</w:t>
            </w:r>
            <w:r w:rsidR="001A7E4D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:</w:t>
            </w:r>
          </w:p>
          <w:p w14:paraId="5C5B4328" w14:textId="0BF37205" w:rsidR="000201B4" w:rsidRDefault="00000000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1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Strategie Centra do roku 2025</w:t>
              </w:r>
            </w:hyperlink>
          </w:p>
          <w:p w14:paraId="1569F2F3" w14:textId="460C51FA" w:rsidR="000201B4" w:rsidRDefault="00000000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2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Politika kvality</w:t>
              </w:r>
            </w:hyperlink>
          </w:p>
          <w:p w14:paraId="50BB9668" w14:textId="08A96198" w:rsidR="000201B4" w:rsidRDefault="00000000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3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Veřejná bezpečnostní politika</w:t>
              </w:r>
            </w:hyperlink>
          </w:p>
          <w:p w14:paraId="0F7305F3" w14:textId="05D55EA8" w:rsidR="000201B4" w:rsidRDefault="00000000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4" w:history="1">
              <w:r w:rsidR="000201B4" w:rsidRPr="000201B4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Etický kodex</w:t>
              </w:r>
            </w:hyperlink>
          </w:p>
          <w:p w14:paraId="659CF845" w14:textId="4FD490B0" w:rsidR="000201B4" w:rsidRPr="00023F2C" w:rsidRDefault="00000000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5" w:history="1">
              <w:r w:rsidR="00AC64CA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Norma ČSN EN ISO 9001:2016</w:t>
              </w:r>
            </w:hyperlink>
          </w:p>
          <w:p w14:paraId="6E83A3A9" w14:textId="5C5C50A6" w:rsidR="00EB019F" w:rsidRDefault="00000000" w:rsidP="00432526">
            <w:pPr>
              <w:pStyle w:val="Nadpis3"/>
              <w:shd w:val="clear" w:color="auto" w:fill="FFFFFF"/>
              <w:spacing w:after="0"/>
              <w:jc w:val="both"/>
              <w:rPr>
                <w:rStyle w:val="Hypertextovodkaz"/>
                <w:rFonts w:asciiTheme="minorHAnsi" w:hAnsiTheme="minorHAnsi"/>
                <w:b w:val="0"/>
                <w:bCs w:val="0"/>
                <w:kern w:val="36"/>
                <w:sz w:val="22"/>
                <w:szCs w:val="22"/>
              </w:rPr>
            </w:pPr>
            <w:hyperlink r:id="rId16" w:history="1">
              <w:r w:rsidR="00AC64CA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Dohoda o partnerství pro programové období 2014-2020</w:t>
              </w:r>
            </w:hyperlink>
          </w:p>
          <w:p w14:paraId="4C345750" w14:textId="41D643B8" w:rsidR="00321AD9" w:rsidRDefault="00000000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7" w:history="1">
              <w:r w:rsidR="00321AD9" w:rsidRPr="00321AD9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Dohoda o partnerství pro programové období 2021-2027</w:t>
              </w:r>
            </w:hyperlink>
          </w:p>
          <w:p w14:paraId="7C6B3D2F" w14:textId="77777777" w:rsidR="001A7E4D" w:rsidRDefault="00000000" w:rsidP="001A7E4D">
            <w:pPr>
              <w:pStyle w:val="Nadpis3"/>
              <w:shd w:val="clear" w:color="auto" w:fill="FFFFFF"/>
              <w:spacing w:after="0"/>
              <w:jc w:val="both"/>
              <w:rPr>
                <w:rStyle w:val="Hypertextovodkaz"/>
                <w:rFonts w:asciiTheme="minorHAnsi" w:hAnsiTheme="minorHAnsi"/>
                <w:b w:val="0"/>
                <w:sz w:val="22"/>
                <w:szCs w:val="22"/>
              </w:rPr>
            </w:pPr>
            <w:hyperlink r:id="rId18" w:history="1">
              <w:r w:rsidR="001A7E4D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Strategie regionálního rozvoje ČR 2014-2020</w:t>
              </w:r>
            </w:hyperlink>
          </w:p>
          <w:p w14:paraId="53FD9FDC" w14:textId="4B4EEDC8" w:rsidR="00321AD9" w:rsidRPr="00023F2C" w:rsidRDefault="00000000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9" w:history="1">
              <w:r w:rsidR="00321AD9" w:rsidRPr="00321AD9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Strategie regionální rozvoje ČR 2021+</w:t>
              </w:r>
            </w:hyperlink>
          </w:p>
          <w:p w14:paraId="3917200C" w14:textId="2605C73C" w:rsidR="001A7E4D" w:rsidRPr="00023F2C" w:rsidRDefault="00000000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20" w:history="1">
              <w:r w:rsidR="00AC64CA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Politika územního rozvoje České republiky</w:t>
              </w:r>
            </w:hyperlink>
          </w:p>
          <w:p w14:paraId="47353C75" w14:textId="77777777" w:rsidR="00E91B4F" w:rsidRPr="00023F2C" w:rsidRDefault="00E91B4F" w:rsidP="00EF278F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14:paraId="605D3503" w14:textId="77777777" w:rsidR="00E25613" w:rsidRPr="00023F2C" w:rsidRDefault="0055612A" w:rsidP="00EF278F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Koncepční výhled C</w:t>
            </w:r>
            <w:r w:rsidR="00EF278F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entra</w:t>
            </w: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je vždy součástí výroční zprávy </w:t>
            </w:r>
            <w:r w:rsidR="00432526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organizace </w:t>
            </w: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za daný rok.</w:t>
            </w:r>
          </w:p>
        </w:tc>
      </w:tr>
      <w:tr w:rsidR="00E25613" w:rsidRPr="00023F2C" w14:paraId="57FC95F6" w14:textId="77777777" w:rsidTr="00C70190">
        <w:trPr>
          <w:trHeight w:val="81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C57B83C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43C583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Rozpočet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7821BA8" w14:textId="20AC83E8" w:rsidR="00AB316E" w:rsidRDefault="00AB316E" w:rsidP="00AB6AE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lang w:eastAsia="cs-CZ"/>
              </w:rPr>
              <w:t xml:space="preserve">Data k rozpočtu jsou zveřejněna v </w:t>
            </w:r>
            <w:hyperlink r:id="rId21" w:history="1">
              <w:r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aplikaci MONITOR MFČR</w:t>
              </w:r>
            </w:hyperlink>
            <w:r w:rsidR="00AC64CA">
              <w:rPr>
                <w:rFonts w:asciiTheme="minorHAnsi" w:eastAsia="Times New Roman" w:hAnsiTheme="minorHAnsi" w:cs="Arial"/>
                <w:lang w:eastAsia="cs-CZ"/>
              </w:rPr>
              <w:t>.</w:t>
            </w:r>
          </w:p>
          <w:p w14:paraId="08A9B8D1" w14:textId="3374CC84" w:rsidR="00621879" w:rsidRPr="00AC64CA" w:rsidRDefault="0055612A" w:rsidP="00432526">
            <w:pPr>
              <w:spacing w:after="0" w:line="336" w:lineRule="atLeast"/>
              <w:jc w:val="both"/>
              <w:outlineLvl w:val="0"/>
              <w:rPr>
                <w:rStyle w:val="Hypertextovodkaz"/>
                <w:rFonts w:asciiTheme="minorHAnsi" w:eastAsia="Times New Roman" w:hAnsiTheme="minorHAnsi"/>
                <w:i/>
                <w:color w:val="auto"/>
                <w:u w:val="none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 xml:space="preserve">Rozpočet 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 xml:space="preserve">je </w:t>
            </w:r>
            <w:r w:rsidR="00AB316E">
              <w:rPr>
                <w:rFonts w:asciiTheme="minorHAnsi" w:eastAsia="Times New Roman" w:hAnsiTheme="minorHAnsi" w:cs="Arial"/>
                <w:lang w:eastAsia="cs-CZ"/>
              </w:rPr>
              <w:t xml:space="preserve">také 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součástí Výroční</w:t>
            </w:r>
            <w:r w:rsidR="00AC64CA">
              <w:rPr>
                <w:rFonts w:asciiTheme="minorHAnsi" w:eastAsia="Times New Roman" w:hAnsiTheme="minorHAnsi" w:cs="Arial"/>
                <w:lang w:eastAsia="cs-CZ"/>
              </w:rPr>
              <w:t xml:space="preserve">ch 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 xml:space="preserve">zpráv </w:t>
            </w:r>
            <w:r w:rsidR="00AC64CA">
              <w:rPr>
                <w:rFonts w:asciiTheme="minorHAnsi" w:eastAsia="Times New Roman" w:hAnsiTheme="minorHAnsi" w:cs="Arial"/>
                <w:lang w:eastAsia="cs-CZ"/>
              </w:rPr>
              <w:t xml:space="preserve">Centra 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o činnosti a</w:t>
            </w:r>
            <w:r w:rsidR="00AB2DA5" w:rsidRPr="00023F2C">
              <w:rPr>
                <w:rFonts w:asciiTheme="minorHAnsi" w:eastAsia="Times New Roman" w:hAnsiTheme="minorHAnsi" w:cs="Arial"/>
                <w:lang w:eastAsia="cs-CZ"/>
              </w:rPr>
              <w:t> 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hospodaření</w:t>
            </w:r>
            <w:r w:rsidR="00AB6AED" w:rsidRPr="00023F2C">
              <w:rPr>
                <w:rFonts w:asciiTheme="minorHAnsi" w:eastAsia="Times New Roman" w:hAnsiTheme="minorHAnsi" w:cs="Arial"/>
                <w:i/>
                <w:lang w:eastAsia="cs-CZ"/>
              </w:rPr>
              <w:t xml:space="preserve">. </w:t>
            </w:r>
            <w:r w:rsidR="00AB316E">
              <w:t xml:space="preserve">Výroční zprávy jsou zveřejněny na </w:t>
            </w:r>
            <w:hyperlink r:id="rId22" w:history="1">
              <w:r w:rsidR="00AB316E" w:rsidRPr="00AB316E">
                <w:rPr>
                  <w:rStyle w:val="Hypertextovodkaz"/>
                  <w:rFonts w:ascii="Calibri" w:hAnsi="Calibri" w:cs="Times New Roman"/>
                </w:rPr>
                <w:t>webu Centra</w:t>
              </w:r>
            </w:hyperlink>
            <w:r w:rsidR="00AB316E">
              <w:t>.</w:t>
            </w:r>
          </w:p>
          <w:p w14:paraId="551D16B2" w14:textId="542EB20E" w:rsidR="0053374C" w:rsidRPr="00023F2C" w:rsidRDefault="0053374C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</w:p>
        </w:tc>
      </w:tr>
      <w:tr w:rsidR="00E25613" w:rsidRPr="00023F2C" w14:paraId="39521E04" w14:textId="77777777" w:rsidTr="00C70190">
        <w:trPr>
          <w:trHeight w:val="1355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11DC68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9.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4133B0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Žádosti o informace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868995E" w14:textId="77777777" w:rsidR="00E91B4F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Poštou: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840D8E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entrum pro regionální rozvoj České republiky</w:t>
            </w:r>
            <w:r w:rsidR="00840D8E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,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</w:p>
          <w:p w14:paraId="7FD067FD" w14:textId="3A681C04" w:rsidR="00840D8E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 w:cs="Arial"/>
                <w:i/>
                <w:lang w:eastAsia="cs-CZ"/>
              </w:rPr>
              <w:t>T</w:t>
            </w: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elefonicky: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hAnsiTheme="minorHAnsi"/>
              </w:rPr>
              <w:t>225 855 200</w:t>
            </w:r>
          </w:p>
          <w:p w14:paraId="793241A1" w14:textId="221EB83F" w:rsidR="00E25613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E-mailem: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hyperlink r:id="rId23" w:history="1">
              <w:r w:rsidR="0053374C" w:rsidRPr="000C1B1C">
                <w:rPr>
                  <w:rStyle w:val="Hypertextovodkaz"/>
                  <w:rFonts w:asciiTheme="minorHAnsi" w:eastAsia="Times New Roman" w:hAnsiTheme="minorHAnsi"/>
                  <w:bCs/>
                  <w:lang w:eastAsia="cs-CZ"/>
                </w:rPr>
                <w:t>podatelna@crr.cz</w:t>
              </w:r>
            </w:hyperlink>
            <w:r w:rsidR="0053374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</w:p>
          <w:p w14:paraId="180CACE9" w14:textId="77777777" w:rsidR="005E4EE3" w:rsidRPr="00023F2C" w:rsidRDefault="005E4EE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Datovou schránkou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: </w:t>
            </w:r>
            <w:r w:rsidRPr="00023F2C">
              <w:rPr>
                <w:rFonts w:asciiTheme="minorHAnsi" w:hAnsiTheme="minorHAnsi"/>
              </w:rPr>
              <w:t>mt6427q</w:t>
            </w:r>
          </w:p>
        </w:tc>
      </w:tr>
      <w:tr w:rsidR="00E25613" w:rsidRPr="00023F2C" w14:paraId="08E9DA33" w14:textId="77777777" w:rsidTr="00C70190">
        <w:trPr>
          <w:trHeight w:val="97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E566236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10.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027486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Příjem žádostí a další podání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03D40C0" w14:textId="5A98924C" w:rsidR="00E25613" w:rsidRPr="00023F2C" w:rsidRDefault="00840D8E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Osobně v sekretariátu 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,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  <w:r w:rsidR="00432526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v úředních hodinách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, písemně na adrese 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Centrum pro regionální rozvoj České republiky,</w:t>
            </w:r>
            <w:r w:rsidR="00EF278F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elektronicky na </w:t>
            </w:r>
            <w:hyperlink r:id="rId24" w:history="1">
              <w:r w:rsidR="0053374C" w:rsidRPr="000C1B1C">
                <w:rPr>
                  <w:rStyle w:val="Hypertextovodkaz"/>
                  <w:rFonts w:ascii="Calibri" w:hAnsi="Calibri" w:cs="Times New Roman"/>
                </w:rPr>
                <w:t>podatelna</w:t>
              </w:r>
              <w:r w:rsidR="0053374C" w:rsidRPr="000C1B1C">
                <w:rPr>
                  <w:rStyle w:val="Hypertextovodkaz"/>
                  <w:rFonts w:asciiTheme="minorHAnsi" w:eastAsia="Times New Roman" w:hAnsiTheme="minorHAnsi"/>
                  <w:bCs/>
                  <w:lang w:eastAsia="cs-CZ"/>
                </w:rPr>
                <w:t>@crr.cz</w:t>
              </w:r>
            </w:hyperlink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,</w:t>
            </w:r>
            <w:r w:rsidR="00F67B88"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nebo datovou schránkou </w:t>
            </w:r>
            <w:r w:rsidR="005E4EE3" w:rsidRPr="00023F2C">
              <w:rPr>
                <w:rFonts w:asciiTheme="minorHAnsi" w:hAnsiTheme="minorHAnsi"/>
              </w:rPr>
              <w:t>mt6427q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.</w:t>
            </w:r>
          </w:p>
        </w:tc>
      </w:tr>
      <w:tr w:rsidR="0053374C" w:rsidRPr="00023F2C" w14:paraId="6FF182DE" w14:textId="77777777" w:rsidTr="006D6B5F">
        <w:trPr>
          <w:trHeight w:val="43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E647ED8" w14:textId="77777777" w:rsidR="0053374C" w:rsidRPr="00023F2C" w:rsidRDefault="0053374C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11.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0F20688" w14:textId="76D57A98" w:rsidR="0053374C" w:rsidRPr="00774A8D" w:rsidRDefault="0053374C" w:rsidP="00EE553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</w:t>
            </w:r>
            <w:r>
              <w:rPr>
                <w:b/>
                <w:kern w:val="36"/>
              </w:rPr>
              <w:t>ředpisy</w:t>
            </w:r>
          </w:p>
        </w:tc>
      </w:tr>
      <w:tr w:rsidR="0053374C" w:rsidRPr="00023F2C" w14:paraId="39E3643F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EC95" w14:textId="6E42D6A6" w:rsidR="0053374C" w:rsidRPr="00023F2C" w:rsidRDefault="0053374C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</w:t>
            </w:r>
            <w:r>
              <w:rPr>
                <w:b/>
                <w:kern w:val="36"/>
              </w:rPr>
              <w:t>1.1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34E4BA" w14:textId="722A66A2" w:rsidR="0053374C" w:rsidRPr="00023F2C" w:rsidRDefault="0053374C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N</w:t>
            </w:r>
            <w:r>
              <w:rPr>
                <w:b/>
                <w:kern w:val="36"/>
              </w:rPr>
              <w:t>ejdůležitější používané předpisy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A0E7E1" w14:textId="2E09011F" w:rsidR="0053374C" w:rsidRDefault="0053374C" w:rsidP="0053374C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53374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248/2000 Sb.</w:t>
            </w: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</w:t>
            </w:r>
            <w:r w:rsidRPr="0053374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o podpoře regionálního rozvoje</w:t>
            </w:r>
            <w:r w:rsidR="00310DCA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,</w:t>
            </w:r>
          </w:p>
          <w:p w14:paraId="3D0B0A32" w14:textId="2A7CDD87" w:rsidR="00310DCA" w:rsidRDefault="00310DCA" w:rsidP="0053374C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234/2014 Sb., o státní službě,</w:t>
            </w:r>
          </w:p>
          <w:p w14:paraId="16A9CBF7" w14:textId="2D89A7E8" w:rsidR="0053374C" w:rsidRDefault="00310DCA" w:rsidP="00310DCA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310DCA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255/2012 Sb.</w:t>
            </w: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</w:t>
            </w:r>
            <w:r w:rsidRPr="00310DCA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o kontrole (kontrolní řád)</w:t>
            </w: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,</w:t>
            </w:r>
          </w:p>
          <w:p w14:paraId="33813FF5" w14:textId="5B912815" w:rsidR="00310DCA" w:rsidRPr="00310DCA" w:rsidRDefault="00310DCA" w:rsidP="00310DCA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310DCA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250/2000 Sb., o rozpočtových pravidlech územních rozpočtů,</w:t>
            </w:r>
          </w:p>
          <w:p w14:paraId="2C500FE1" w14:textId="6ABB918B" w:rsidR="00310DCA" w:rsidRDefault="00310DCA" w:rsidP="00310DCA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310DCA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134/2016 Sb., o zadávání veřejných zakázek,</w:t>
            </w:r>
          </w:p>
          <w:p w14:paraId="709AB473" w14:textId="3643C056" w:rsidR="00310DCA" w:rsidRDefault="00310DCA" w:rsidP="00310DCA">
            <w:pPr>
              <w:spacing w:after="0" w:line="336" w:lineRule="atLeast"/>
              <w:jc w:val="both"/>
              <w:outlineLvl w:val="0"/>
            </w:pPr>
            <w:r>
              <w:t>Zákon č. 320/2001 Sb., o finanční kontrole ve veřejné správě</w:t>
            </w:r>
          </w:p>
          <w:p w14:paraId="3738F7CC" w14:textId="1C52C230" w:rsidR="00310DCA" w:rsidRDefault="00310DCA" w:rsidP="00310DCA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310DCA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340/2015 Sb., o zvláštních podmínkách účinnosti některých smluv,</w:t>
            </w: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</w:t>
            </w:r>
            <w:r w:rsidRPr="00310DCA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uveřejňování těchto smluv a o registru smluv</w:t>
            </w:r>
          </w:p>
          <w:p w14:paraId="41F96520" w14:textId="7B6B3BB3" w:rsidR="00310DCA" w:rsidRDefault="00310DCA" w:rsidP="00310DCA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A další.</w:t>
            </w:r>
          </w:p>
          <w:p w14:paraId="053769D3" w14:textId="11E2A41B" w:rsidR="00310DCA" w:rsidRPr="00023F2C" w:rsidRDefault="00310DCA" w:rsidP="00310DCA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Předpisy jsou dostupné na webu </w:t>
            </w:r>
            <w:hyperlink r:id="rId25" w:history="1">
              <w:r w:rsidRPr="000C1B1C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https://www.e-sbirka.cz/</w:t>
              </w:r>
            </w:hyperlink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</w:t>
            </w:r>
          </w:p>
        </w:tc>
      </w:tr>
      <w:tr w:rsidR="00310DCA" w:rsidRPr="00023F2C" w14:paraId="75C64B49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9BE3F" w14:textId="3585F1EE" w:rsidR="00310DCA" w:rsidRPr="00023F2C" w:rsidRDefault="00310DCA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11.2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F46EA0" w14:textId="247E6F59" w:rsidR="00310DCA" w:rsidRPr="00023F2C" w:rsidRDefault="00310DCA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Vydané právní předpisy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44ADA4" w14:textId="3FB99D4A" w:rsidR="00310DCA" w:rsidRPr="00023F2C" w:rsidRDefault="00310DCA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Centrum nevydává právní předpisy.</w:t>
            </w:r>
          </w:p>
        </w:tc>
      </w:tr>
      <w:tr w:rsidR="00E25613" w:rsidRPr="00023F2C" w14:paraId="12B77A3A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E12CEF" w14:textId="069C7DCB" w:rsidR="00E25613" w:rsidRPr="00023F2C" w:rsidRDefault="00310DCA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12.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E85811F" w14:textId="77777777" w:rsidR="00E25613" w:rsidRPr="00023F2C" w:rsidRDefault="00E25613" w:rsidP="005457E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Úhrady za poskytování informací</w:t>
            </w:r>
          </w:p>
        </w:tc>
      </w:tr>
      <w:tr w:rsidR="00E25613" w:rsidRPr="00023F2C" w14:paraId="1A337877" w14:textId="77777777" w:rsidTr="00C70190">
        <w:trPr>
          <w:trHeight w:val="932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3D8AF35" w14:textId="5EA22939" w:rsidR="00E25613" w:rsidRPr="00023F2C" w:rsidRDefault="00310DCA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12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AC63734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Sazebník úhrad za poskytování informací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D238167" w14:textId="77777777" w:rsidR="005457EE" w:rsidRDefault="005457EE" w:rsidP="005F2715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V případě mimořádně rozsáhlého vyhledávání požadované informace je účtováno </w:t>
            </w:r>
            <w:r w:rsidR="003D3EE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300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Kč za každou celou hodinu vyhledávání. Cena kopie je </w:t>
            </w:r>
            <w:r w:rsidR="00D11058">
              <w:rPr>
                <w:rFonts w:asciiTheme="minorHAnsi" w:eastAsia="Times New Roman" w:hAnsiTheme="minorHAnsi" w:cs="Arial"/>
                <w:color w:val="000000"/>
                <w:lang w:eastAsia="cs-CZ"/>
              </w:rPr>
              <w:t>2.00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Kč (A4 jednostranně), </w:t>
            </w:r>
            <w:r w:rsidR="00D11058">
              <w:rPr>
                <w:rFonts w:asciiTheme="minorHAnsi" w:eastAsia="Times New Roman" w:hAnsiTheme="minorHAnsi" w:cs="Arial"/>
                <w:color w:val="000000"/>
                <w:lang w:eastAsia="cs-CZ"/>
              </w:rPr>
              <w:t>3.5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0 Kč (A4 oboustranně), 3.00 Kč (A3 jednostranně) nebo </w:t>
            </w:r>
            <w:r w:rsidR="00D11058">
              <w:rPr>
                <w:rFonts w:asciiTheme="minorHAnsi" w:eastAsia="Times New Roman" w:hAnsiTheme="minorHAnsi" w:cs="Arial"/>
                <w:color w:val="000000"/>
                <w:lang w:eastAsia="cs-CZ"/>
              </w:rPr>
              <w:t>6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.00 Kč (A3 oboustranně). Cena za nosič CD-ROM je 10.00 Kč. Balné není účtováno, poštovné je účtováno ve výši dle sazebníku České pošty. </w:t>
            </w:r>
            <w:r w:rsidRPr="00023F2C">
              <w:rPr>
                <w:rFonts w:asciiTheme="minorHAnsi" w:hAnsiTheme="minorHAnsi"/>
              </w:rPr>
              <w:t>Úhradu za poskytnutí informace lze zaplatit v hotovosti v </w:t>
            </w:r>
            <w:r w:rsidR="005F2715" w:rsidRPr="00023F2C">
              <w:rPr>
                <w:rFonts w:asciiTheme="minorHAnsi" w:hAnsiTheme="minorHAnsi"/>
              </w:rPr>
              <w:t>S</w:t>
            </w:r>
            <w:r w:rsidRPr="00023F2C">
              <w:rPr>
                <w:rFonts w:asciiTheme="minorHAnsi" w:hAnsiTheme="minorHAnsi"/>
              </w:rPr>
              <w:t>ekretariátu C</w:t>
            </w:r>
            <w:r w:rsidR="00EF278F" w:rsidRPr="00023F2C">
              <w:rPr>
                <w:rFonts w:asciiTheme="minorHAnsi" w:hAnsiTheme="minorHAnsi"/>
              </w:rPr>
              <w:t xml:space="preserve">entra </w:t>
            </w:r>
            <w:r w:rsidR="00660BC4" w:rsidRPr="00023F2C">
              <w:rPr>
                <w:rFonts w:asciiTheme="minorHAnsi" w:hAnsiTheme="minorHAnsi"/>
              </w:rPr>
              <w:t xml:space="preserve">nebo předem na účet </w:t>
            </w:r>
            <w:r w:rsidR="00EF278F" w:rsidRPr="00023F2C">
              <w:rPr>
                <w:rFonts w:asciiTheme="minorHAnsi" w:hAnsiTheme="minorHAnsi"/>
              </w:rPr>
              <w:t>Centra</w:t>
            </w:r>
            <w:r w:rsidR="00660BC4" w:rsidRPr="00023F2C">
              <w:rPr>
                <w:rFonts w:asciiTheme="minorHAnsi" w:hAnsiTheme="minorHAnsi"/>
              </w:rPr>
              <w:t xml:space="preserve"> čí</w:t>
            </w:r>
            <w:r w:rsidR="00660BC4" w:rsidRPr="00023F2C">
              <w:rPr>
                <w:rFonts w:asciiTheme="minorHAnsi" w:hAnsiTheme="minorHAnsi"/>
                <w:color w:val="000000"/>
              </w:rPr>
              <w:t xml:space="preserve">slo </w:t>
            </w:r>
            <w:r w:rsidR="005F2715" w:rsidRPr="00023F2C">
              <w:rPr>
                <w:rFonts w:asciiTheme="minorHAnsi" w:hAnsiTheme="minorHAnsi"/>
                <w:b/>
                <w:bCs/>
                <w:sz w:val="36"/>
                <w:szCs w:val="36"/>
              </w:rPr>
              <w:t>236 021/0710</w:t>
            </w:r>
            <w:r w:rsidR="005F2715" w:rsidRPr="00023F2C">
              <w:rPr>
                <w:rFonts w:asciiTheme="minorHAnsi" w:hAnsiTheme="minorHAnsi"/>
              </w:rPr>
              <w:t xml:space="preserve"> </w:t>
            </w:r>
            <w:r w:rsidR="00660BC4" w:rsidRPr="00023F2C">
              <w:rPr>
                <w:rFonts w:asciiTheme="minorHAnsi" w:hAnsiTheme="minorHAnsi"/>
              </w:rPr>
              <w:t xml:space="preserve">(variabilním symbolem platby je číslo jednací sdělení, kterým byl žadatel o informaci vyzván k úhradě nákladů). </w:t>
            </w:r>
            <w:r w:rsidRPr="00023F2C">
              <w:rPr>
                <w:rFonts w:asciiTheme="minorHAnsi" w:hAnsiTheme="minorHAnsi"/>
              </w:rPr>
              <w:t>Na žádost žadatele lze zaslat informaci na dobírku.</w:t>
            </w:r>
            <w:r w:rsidRPr="00023F2C">
              <w:rPr>
                <w:rFonts w:asciiTheme="minorHAnsi" w:hAnsiTheme="minorHAnsi"/>
                <w:b/>
              </w:rPr>
              <w:t xml:space="preserve"> </w:t>
            </w:r>
            <w:r w:rsidRPr="00023F2C">
              <w:rPr>
                <w:rFonts w:asciiTheme="minorHAnsi" w:hAnsiTheme="minorHAnsi"/>
              </w:rPr>
              <w:t>Pokud náklady vzniklé na základě jedné žádosti</w:t>
            </w:r>
            <w:r w:rsidR="00820D81" w:rsidRPr="00023F2C">
              <w:rPr>
                <w:rFonts w:asciiTheme="minorHAnsi" w:hAnsiTheme="minorHAnsi"/>
              </w:rPr>
              <w:t xml:space="preserve"> o poskytnutí informace</w:t>
            </w:r>
            <w:r w:rsidRPr="00023F2C">
              <w:rPr>
                <w:rFonts w:asciiTheme="minorHAnsi" w:hAnsiTheme="minorHAnsi"/>
              </w:rPr>
              <w:t xml:space="preserve"> nedos</w:t>
            </w:r>
            <w:r w:rsidR="00820D81" w:rsidRPr="00023F2C">
              <w:rPr>
                <w:rFonts w:asciiTheme="minorHAnsi" w:hAnsiTheme="minorHAnsi"/>
              </w:rPr>
              <w:t xml:space="preserve">ahují </w:t>
            </w:r>
            <w:r w:rsidRPr="00023F2C">
              <w:rPr>
                <w:rFonts w:asciiTheme="minorHAnsi" w:hAnsiTheme="minorHAnsi"/>
              </w:rPr>
              <w:t xml:space="preserve">výše </w:t>
            </w:r>
            <w:r w:rsidR="00660BC4" w:rsidRPr="00023F2C">
              <w:rPr>
                <w:rFonts w:asciiTheme="minorHAnsi" w:hAnsiTheme="minorHAnsi"/>
              </w:rPr>
              <w:t>5</w:t>
            </w:r>
            <w:r w:rsidRPr="00023F2C">
              <w:rPr>
                <w:rFonts w:asciiTheme="minorHAnsi" w:hAnsiTheme="minorHAnsi"/>
              </w:rPr>
              <w:t>00 Kč, úhrada nákladů za poskytnutí informace se nevyžaduje. Materiály a tiskoviny vydávané C</w:t>
            </w:r>
            <w:r w:rsidR="00EF278F" w:rsidRPr="00023F2C">
              <w:rPr>
                <w:rFonts w:asciiTheme="minorHAnsi" w:hAnsiTheme="minorHAnsi"/>
              </w:rPr>
              <w:t xml:space="preserve">entrem, </w:t>
            </w:r>
            <w:r w:rsidRPr="00023F2C">
              <w:rPr>
                <w:rFonts w:asciiTheme="minorHAnsi" w:hAnsiTheme="minorHAnsi"/>
              </w:rPr>
              <w:t>případně MMR jsou poskytovány v jejich uvedené ceně.</w:t>
            </w:r>
          </w:p>
          <w:p w14:paraId="3140B383" w14:textId="2151D831" w:rsidR="00AC64CA" w:rsidRPr="00023F2C" w:rsidRDefault="00AC64CA" w:rsidP="005F2715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lastRenderedPageBreak/>
              <w:t>Částky odpovídají aktuálně platnému Sazebníku úhrad nákladů za poskytování informací Ministerstva pro místní rozvoj České republiky, které je nadřízenou organizací Centra.</w:t>
            </w: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Bližší informace </w:t>
            </w:r>
            <w:hyperlink r:id="rId26" w:history="1">
              <w:r w:rsidRPr="00D11058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ZDE</w:t>
              </w:r>
            </w:hyperlink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.</w:t>
            </w:r>
          </w:p>
        </w:tc>
      </w:tr>
      <w:tr w:rsidR="00E25613" w:rsidRPr="00023F2C" w14:paraId="210C286E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A138D5" w14:textId="2B37FB31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1</w:t>
            </w:r>
            <w:r w:rsidR="00D11058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2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B0E27C9" w14:textId="3AFB607C" w:rsidR="00E25613" w:rsidRPr="00023F2C" w:rsidRDefault="00D11058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Rozhodnutí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nadřízeného orgánu o výši úhrad za poskytování informací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9190CC9" w14:textId="609CB5CA" w:rsidR="00D11058" w:rsidRPr="00D11058" w:rsidRDefault="00D11058" w:rsidP="00CB350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</w:p>
        </w:tc>
      </w:tr>
      <w:tr w:rsidR="00E25613" w:rsidRPr="00023F2C" w14:paraId="3B44FBA8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77BA48" w14:textId="4C74F184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</w:t>
            </w:r>
            <w:r w:rsidR="00D11058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3</w:t>
            </w: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E325073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Licenční smlouvy</w:t>
            </w:r>
          </w:p>
        </w:tc>
      </w:tr>
      <w:tr w:rsidR="00E25613" w:rsidRPr="00023F2C" w14:paraId="28D3780E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77387E" w14:textId="7D6A33BB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</w:t>
            </w:r>
            <w:r w:rsidR="00D11058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3</w:t>
            </w: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BF1928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Vzory licenčních smluv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634F623" w14:textId="77777777" w:rsidR="00E25613" w:rsidRPr="00023F2C" w:rsidRDefault="001E1BD1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entrum</w:t>
            </w:r>
            <w:r w:rsidR="00E25613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 licenční smlouvy nepoužívá.</w:t>
            </w:r>
          </w:p>
        </w:tc>
      </w:tr>
      <w:tr w:rsidR="00E25613" w:rsidRPr="00023F2C" w14:paraId="76FC0E01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B174AC" w14:textId="7B007F64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</w:t>
            </w:r>
            <w:r w:rsidR="00D11058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3</w:t>
            </w: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9D5BE2E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Výhradní licence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7EDC06D" w14:textId="77777777" w:rsidR="00E25613" w:rsidRPr="00023F2C" w:rsidRDefault="001E1BD1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entrum </w:t>
            </w:r>
            <w:r w:rsidR="00E25613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licenční smlouvy nepoužívá.</w:t>
            </w:r>
          </w:p>
        </w:tc>
      </w:tr>
      <w:tr w:rsidR="00E25613" w:rsidRPr="00023F2C" w14:paraId="4942D1C7" w14:textId="77777777" w:rsidTr="00C70190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B238AB" w14:textId="6C905CA0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</w:t>
            </w:r>
            <w:r w:rsidR="00D11058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4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34DF25" w14:textId="535C5836" w:rsidR="00E25613" w:rsidRPr="00023F2C" w:rsidRDefault="00D11058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D11058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Výroční zpráva podle zákona o svobodném přístupu k informacím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5618547" w14:textId="51C8CDE6" w:rsidR="00E25613" w:rsidRPr="00023F2C" w:rsidRDefault="00D11058" w:rsidP="000F4568">
            <w:pPr>
              <w:spacing w:after="0" w:line="336" w:lineRule="atLeast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r>
              <w:t xml:space="preserve">Výroční zprávy dle zákona č. 106 jsou zveřejňovány na </w:t>
            </w:r>
            <w:hyperlink r:id="rId27" w:history="1">
              <w:r w:rsidRPr="00D11058">
                <w:rPr>
                  <w:rStyle w:val="Hypertextovodkaz"/>
                  <w:rFonts w:ascii="Calibri" w:hAnsi="Calibri" w:cs="Times New Roman"/>
                </w:rPr>
                <w:t>webu Centra</w:t>
              </w:r>
            </w:hyperlink>
            <w:r>
              <w:t>.</w:t>
            </w:r>
          </w:p>
        </w:tc>
      </w:tr>
    </w:tbl>
    <w:p w14:paraId="34D7330D" w14:textId="77777777" w:rsidR="005457EE" w:rsidRPr="00023F2C" w:rsidRDefault="005457EE" w:rsidP="00F67B88">
      <w:pPr>
        <w:rPr>
          <w:rFonts w:asciiTheme="minorHAnsi" w:hAnsiTheme="minorHAnsi"/>
        </w:rPr>
      </w:pPr>
    </w:p>
    <w:sectPr w:rsidR="005457EE" w:rsidRPr="00023F2C" w:rsidSect="00FD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 Garamond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2C3D"/>
    <w:multiLevelType w:val="hybridMultilevel"/>
    <w:tmpl w:val="5AF24DB4"/>
    <w:lvl w:ilvl="0" w:tplc="33D4D3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49DE"/>
    <w:multiLevelType w:val="hybridMultilevel"/>
    <w:tmpl w:val="A46C6E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8979418">
    <w:abstractNumId w:val="1"/>
  </w:num>
  <w:num w:numId="2" w16cid:durableId="29603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13"/>
    <w:rsid w:val="000201B4"/>
    <w:rsid w:val="00023F2C"/>
    <w:rsid w:val="00030C3C"/>
    <w:rsid w:val="00062D7B"/>
    <w:rsid w:val="00072CB9"/>
    <w:rsid w:val="000E05A0"/>
    <w:rsid w:val="000F4568"/>
    <w:rsid w:val="001A7E4D"/>
    <w:rsid w:val="001C3559"/>
    <w:rsid w:val="001E1BD1"/>
    <w:rsid w:val="001E6014"/>
    <w:rsid w:val="00231953"/>
    <w:rsid w:val="00310DCA"/>
    <w:rsid w:val="00321AD9"/>
    <w:rsid w:val="003D3EEB"/>
    <w:rsid w:val="003E591E"/>
    <w:rsid w:val="00432526"/>
    <w:rsid w:val="004721A0"/>
    <w:rsid w:val="004F65FD"/>
    <w:rsid w:val="00507F49"/>
    <w:rsid w:val="0053374C"/>
    <w:rsid w:val="005457EE"/>
    <w:rsid w:val="0055612A"/>
    <w:rsid w:val="005E4EE3"/>
    <w:rsid w:val="005F03B8"/>
    <w:rsid w:val="005F2715"/>
    <w:rsid w:val="00621879"/>
    <w:rsid w:val="00660BC4"/>
    <w:rsid w:val="00671523"/>
    <w:rsid w:val="006A0050"/>
    <w:rsid w:val="00746B2D"/>
    <w:rsid w:val="00755818"/>
    <w:rsid w:val="00774A8D"/>
    <w:rsid w:val="007D7C8F"/>
    <w:rsid w:val="00805DAF"/>
    <w:rsid w:val="00807B8F"/>
    <w:rsid w:val="00820D81"/>
    <w:rsid w:val="00825EC2"/>
    <w:rsid w:val="00832E23"/>
    <w:rsid w:val="00840D8E"/>
    <w:rsid w:val="0088044C"/>
    <w:rsid w:val="0088284F"/>
    <w:rsid w:val="00894F9E"/>
    <w:rsid w:val="008D2D95"/>
    <w:rsid w:val="00934961"/>
    <w:rsid w:val="00941252"/>
    <w:rsid w:val="00960225"/>
    <w:rsid w:val="00991798"/>
    <w:rsid w:val="009A6536"/>
    <w:rsid w:val="009E3A72"/>
    <w:rsid w:val="00A44A90"/>
    <w:rsid w:val="00A55540"/>
    <w:rsid w:val="00A62CB0"/>
    <w:rsid w:val="00A75A66"/>
    <w:rsid w:val="00A924F5"/>
    <w:rsid w:val="00AB2DA5"/>
    <w:rsid w:val="00AB316E"/>
    <w:rsid w:val="00AB6AED"/>
    <w:rsid w:val="00AC64CA"/>
    <w:rsid w:val="00AE6A5C"/>
    <w:rsid w:val="00B641E5"/>
    <w:rsid w:val="00BF3BE9"/>
    <w:rsid w:val="00BF7E02"/>
    <w:rsid w:val="00C014CE"/>
    <w:rsid w:val="00C656A9"/>
    <w:rsid w:val="00C70190"/>
    <w:rsid w:val="00CA77B3"/>
    <w:rsid w:val="00CB350D"/>
    <w:rsid w:val="00CB3E2F"/>
    <w:rsid w:val="00CF0441"/>
    <w:rsid w:val="00CF4077"/>
    <w:rsid w:val="00D06BFB"/>
    <w:rsid w:val="00D11058"/>
    <w:rsid w:val="00D22B27"/>
    <w:rsid w:val="00D65064"/>
    <w:rsid w:val="00D8014C"/>
    <w:rsid w:val="00E25613"/>
    <w:rsid w:val="00E91B4F"/>
    <w:rsid w:val="00EB019F"/>
    <w:rsid w:val="00EE553F"/>
    <w:rsid w:val="00EF278F"/>
    <w:rsid w:val="00EF56B4"/>
    <w:rsid w:val="00F467F1"/>
    <w:rsid w:val="00F67B88"/>
    <w:rsid w:val="00F95F0F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7D78"/>
  <w15:docId w15:val="{96871B71-1DA2-457E-9663-682F5F53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7A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33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25613"/>
    <w:pPr>
      <w:spacing w:after="72" w:line="264" w:lineRule="atLeast"/>
      <w:outlineLvl w:val="2"/>
    </w:pPr>
    <w:rPr>
      <w:rFonts w:ascii="Arial" w:eastAsia="Times New Roman" w:hAnsi="Arial" w:cs="Arial"/>
      <w:b/>
      <w:bCs/>
      <w:color w:val="DF4E19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25613"/>
    <w:rPr>
      <w:rFonts w:ascii="Arial" w:eastAsia="Times New Roman" w:hAnsi="Arial" w:cs="Arial"/>
      <w:b/>
      <w:bCs/>
      <w:color w:val="DF4E19"/>
      <w:sz w:val="29"/>
      <w:szCs w:val="29"/>
      <w:lang w:eastAsia="cs-CZ"/>
    </w:rPr>
  </w:style>
  <w:style w:type="character" w:styleId="Hypertextovodkaz">
    <w:name w:val="Hyperlink"/>
    <w:uiPriority w:val="99"/>
    <w:unhideWhenUsed/>
    <w:rsid w:val="00E25613"/>
    <w:rPr>
      <w:rFonts w:ascii="Arial" w:hAnsi="Arial" w:cs="Arial" w:hint="default"/>
      <w:color w:val="234795"/>
      <w:u w:val="single"/>
    </w:rPr>
  </w:style>
  <w:style w:type="character" w:styleId="Zdraznn">
    <w:name w:val="Emphasis"/>
    <w:uiPriority w:val="20"/>
    <w:qFormat/>
    <w:rsid w:val="00E25613"/>
    <w:rPr>
      <w:i/>
      <w:iCs/>
    </w:rPr>
  </w:style>
  <w:style w:type="character" w:styleId="Siln">
    <w:name w:val="Strong"/>
    <w:uiPriority w:val="22"/>
    <w:qFormat/>
    <w:rsid w:val="00E25613"/>
    <w:rPr>
      <w:b/>
      <w:bCs/>
    </w:rPr>
  </w:style>
  <w:style w:type="paragraph" w:styleId="Normlnweb">
    <w:name w:val="Normal (Web)"/>
    <w:basedOn w:val="Normln"/>
    <w:uiPriority w:val="99"/>
    <w:unhideWhenUsed/>
    <w:rsid w:val="0088284F"/>
    <w:pPr>
      <w:spacing w:before="100" w:beforeAutospacing="1" w:after="240" w:line="336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284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40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D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D8E"/>
    <w:rPr>
      <w:b/>
      <w:bCs/>
      <w:sz w:val="20"/>
      <w:szCs w:val="20"/>
    </w:rPr>
  </w:style>
  <w:style w:type="table" w:styleId="Mkatabulky">
    <w:name w:val="Table Grid"/>
    <w:basedOn w:val="Normlntabulka"/>
    <w:rsid w:val="005457E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C8F"/>
    <w:pPr>
      <w:autoSpaceDE w:val="0"/>
      <w:autoSpaceDN w:val="0"/>
      <w:adjustRightInd w:val="0"/>
    </w:pPr>
    <w:rPr>
      <w:rFonts w:ascii="Stempel Garamond LT Pro" w:hAnsi="Stempel Garamond LT Pro" w:cs="Stempel Garamond LT Pro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CB3E2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A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337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6573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337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822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339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59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49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hyperlink" Target="https://www.crr.cz/dokumenty/verejna-bezpecnostni-politika-centra" TargetMode="External"/><Relationship Id="rId18" Type="http://schemas.openxmlformats.org/officeDocument/2006/relationships/hyperlink" Target="http://www.mmr.cz/cs/Podpora-regionu-a-cestovni-ruch/Regionalni-politika/Koncepce-Strategie/Strategie-regionalniho-rozvoje-CR-2014-2020" TargetMode="External"/><Relationship Id="rId26" Type="http://schemas.openxmlformats.org/officeDocument/2006/relationships/hyperlink" Target="https://mmr.gov.cz/cs/ministerstvo/urad/povinne-zverejnene-informace/postup-mmr-pri-vyrizovani-zadosti-o-informace-(1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itor.statnipokladna.cz/ucetni-jednotka/04095316/prehled?rad=t&amp;obdobi=2312" TargetMode="External"/><Relationship Id="rId7" Type="http://schemas.openxmlformats.org/officeDocument/2006/relationships/hyperlink" Target="mailto:podatelna@crr.cz" TargetMode="External"/><Relationship Id="rId12" Type="http://schemas.openxmlformats.org/officeDocument/2006/relationships/hyperlink" Target="https://www.crr.cz/dokumenty/politika-kvality" TargetMode="External"/><Relationship Id="rId17" Type="http://schemas.openxmlformats.org/officeDocument/2006/relationships/hyperlink" Target="https://www.dotaceeu.cz/cs/evropske-fondy-v-cr/kohezni-politika-po-roce-2020/dohoda-o-partnerstvi/verejna-konzultace-k-prvnimu-navrhu-dohody-o-partn" TargetMode="External"/><Relationship Id="rId25" Type="http://schemas.openxmlformats.org/officeDocument/2006/relationships/hyperlink" Target="https://www.e-sbirka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taceeu.cz/cs/Fondy-EU/2014-2020/Dohoda-o-partnerstvi" TargetMode="External"/><Relationship Id="rId20" Type="http://schemas.openxmlformats.org/officeDocument/2006/relationships/hyperlink" Target="http://www.mmr.cz/cs/Stavebni-rad-a-bytova-politika/Uzemni-planovani-a-stavebni-rad/Koncepce-Strategie/Politika-uzemniho-rozvoje-Ceske-republik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r.cz/o-nas/organizacni-struktura/" TargetMode="External"/><Relationship Id="rId11" Type="http://schemas.openxmlformats.org/officeDocument/2006/relationships/hyperlink" Target="https://www.crr.cz/wp-content/uploads/documents/2020/01/16/1579164562_Strategie%20Centra%20do%20roku%202025.pdf" TargetMode="External"/><Relationship Id="rId24" Type="http://schemas.openxmlformats.org/officeDocument/2006/relationships/hyperlink" Target="mailto:podatelna@crr.cz" TargetMode="External"/><Relationship Id="rId5" Type="http://schemas.openxmlformats.org/officeDocument/2006/relationships/hyperlink" Target="https://www.crr.cz/wp-content/uploads/documents/2021/07/08/1625737752_RM_022_2021_statut.pdf" TargetMode="External"/><Relationship Id="rId15" Type="http://schemas.openxmlformats.org/officeDocument/2006/relationships/hyperlink" Target="https://www.crr.cz/wp-content/uploads/documents/2021/12/08/1638951607_BVC_10397_CIA_QMS_cz_2021.pdf" TargetMode="External"/><Relationship Id="rId23" Type="http://schemas.openxmlformats.org/officeDocument/2006/relationships/hyperlink" Target="mailto:podatelna@cr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odatelna@crr.cz" TargetMode="External"/><Relationship Id="rId19" Type="http://schemas.openxmlformats.org/officeDocument/2006/relationships/hyperlink" Target="https://mmr.gov.cz/cs/microsites/uzemni-dimenze/regionalni-rozvoj/strategie-regionalniho-rozvoje-cr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r.cz/kontakty/pravidla-pro-prijimani-dokumentu/" TargetMode="External"/><Relationship Id="rId14" Type="http://schemas.openxmlformats.org/officeDocument/2006/relationships/hyperlink" Target="https://www.crr.cz/wp-content/uploads/documents/2021/09/22/1632300524_Eticky_kodex_2021.pdf" TargetMode="External"/><Relationship Id="rId22" Type="http://schemas.openxmlformats.org/officeDocument/2006/relationships/hyperlink" Target="https://www.crr.cz/zakladni-dokumenty/" TargetMode="External"/><Relationship Id="rId27" Type="http://schemas.openxmlformats.org/officeDocument/2006/relationships/hyperlink" Target="https://www.crr.cz/media/povinne-informace/odpoved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1511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 CR</Company>
  <LinksUpToDate>false</LinksUpToDate>
  <CharactersWithSpaces>10412</CharactersWithSpaces>
  <SharedDoc>false</SharedDoc>
  <HLinks>
    <vt:vector size="144" baseType="variant">
      <vt:variant>
        <vt:i4>2162795</vt:i4>
      </vt:variant>
      <vt:variant>
        <vt:i4>69</vt:i4>
      </vt:variant>
      <vt:variant>
        <vt:i4>0</vt:i4>
      </vt:variant>
      <vt:variant>
        <vt:i4>5</vt:i4>
      </vt:variant>
      <vt:variant>
        <vt:lpwstr>http://www.crr.cz/Files/Docs/vz_zakon_2016.pdf</vt:lpwstr>
      </vt:variant>
      <vt:variant>
        <vt:lpwstr/>
      </vt:variant>
      <vt:variant>
        <vt:i4>2883640</vt:i4>
      </vt:variant>
      <vt:variant>
        <vt:i4>66</vt:i4>
      </vt:variant>
      <vt:variant>
        <vt:i4>0</vt:i4>
      </vt:variant>
      <vt:variant>
        <vt:i4>5</vt:i4>
      </vt:variant>
      <vt:variant>
        <vt:lpwstr>http://www.crr.cz/cs/irop/</vt:lpwstr>
      </vt:variant>
      <vt:variant>
        <vt:lpwstr/>
      </vt:variant>
      <vt:variant>
        <vt:i4>3735678</vt:i4>
      </vt:variant>
      <vt:variant>
        <vt:i4>63</vt:i4>
      </vt:variant>
      <vt:variant>
        <vt:i4>0</vt:i4>
      </vt:variant>
      <vt:variant>
        <vt:i4>5</vt:i4>
      </vt:variant>
      <vt:variant>
        <vt:lpwstr>http://www.crr.cz/cs/cil-3/</vt:lpwstr>
      </vt:variant>
      <vt:variant>
        <vt:lpwstr/>
      </vt:variant>
      <vt:variant>
        <vt:i4>3211322</vt:i4>
      </vt:variant>
      <vt:variant>
        <vt:i4>60</vt:i4>
      </vt:variant>
      <vt:variant>
        <vt:i4>0</vt:i4>
      </vt:variant>
      <vt:variant>
        <vt:i4>5</vt:i4>
      </vt:variant>
      <vt:variant>
        <vt:lpwstr>http://www.crr.cz/cs/optp/</vt:lpwstr>
      </vt:variant>
      <vt:variant>
        <vt:lpwstr/>
      </vt:variant>
      <vt:variant>
        <vt:i4>1835093</vt:i4>
      </vt:variant>
      <vt:variant>
        <vt:i4>57</vt:i4>
      </vt:variant>
      <vt:variant>
        <vt:i4>0</vt:i4>
      </vt:variant>
      <vt:variant>
        <vt:i4>5</vt:i4>
      </vt:variant>
      <vt:variant>
        <vt:lpwstr>http://www.crr.cz/cs/iop/</vt:lpwstr>
      </vt:variant>
      <vt:variant>
        <vt:lpwstr/>
      </vt:variant>
      <vt:variant>
        <vt:i4>65572</vt:i4>
      </vt:variant>
      <vt:variant>
        <vt:i4>54</vt:i4>
      </vt:variant>
      <vt:variant>
        <vt:i4>0</vt:i4>
      </vt:variant>
      <vt:variant>
        <vt:i4>5</vt:i4>
      </vt:variant>
      <vt:variant>
        <vt:lpwstr>mailto:crr@crr.cz</vt:lpwstr>
      </vt:variant>
      <vt:variant>
        <vt:lpwstr/>
      </vt:variant>
      <vt:variant>
        <vt:i4>1048616</vt:i4>
      </vt:variant>
      <vt:variant>
        <vt:i4>51</vt:i4>
      </vt:variant>
      <vt:variant>
        <vt:i4>0</vt:i4>
      </vt:variant>
      <vt:variant>
        <vt:i4>5</vt:i4>
      </vt:variant>
      <vt:variant>
        <vt:lpwstr>http://www.crr.cz/Files/Docs/o_nas/crr_vz_2015.pdf</vt:lpwstr>
      </vt:variant>
      <vt:variant>
        <vt:lpwstr/>
      </vt:variant>
      <vt:variant>
        <vt:i4>393256</vt:i4>
      </vt:variant>
      <vt:variant>
        <vt:i4>48</vt:i4>
      </vt:variant>
      <vt:variant>
        <vt:i4>0</vt:i4>
      </vt:variant>
      <vt:variant>
        <vt:i4>5</vt:i4>
      </vt:variant>
      <vt:variant>
        <vt:lpwstr>http://www.crr.cz/Files/Docs/o_nas/vyrocni_zprava_2014.pdf</vt:lpwstr>
      </vt:variant>
      <vt:variant>
        <vt:lpwstr/>
      </vt:variant>
      <vt:variant>
        <vt:i4>65576</vt:i4>
      </vt:variant>
      <vt:variant>
        <vt:i4>45</vt:i4>
      </vt:variant>
      <vt:variant>
        <vt:i4>0</vt:i4>
      </vt:variant>
      <vt:variant>
        <vt:i4>5</vt:i4>
      </vt:variant>
      <vt:variant>
        <vt:lpwstr>http://www.crr.cz/Files/Docs/o_nas/vyrocni_zprava_2013.pdf</vt:lpwstr>
      </vt:variant>
      <vt:variant>
        <vt:lpwstr/>
      </vt:variant>
      <vt:variant>
        <vt:i4>7143502</vt:i4>
      </vt:variant>
      <vt:variant>
        <vt:i4>42</vt:i4>
      </vt:variant>
      <vt:variant>
        <vt:i4>0</vt:i4>
      </vt:variant>
      <vt:variant>
        <vt:i4>5</vt:i4>
      </vt:variant>
      <vt:variant>
        <vt:lpwstr>http://www.crr.cz/Files/Docs/o_nas/crr_vyrocni_2012.pdf</vt:lpwstr>
      </vt:variant>
      <vt:variant>
        <vt:lpwstr/>
      </vt:variant>
      <vt:variant>
        <vt:i4>196648</vt:i4>
      </vt:variant>
      <vt:variant>
        <vt:i4>39</vt:i4>
      </vt:variant>
      <vt:variant>
        <vt:i4>0</vt:i4>
      </vt:variant>
      <vt:variant>
        <vt:i4>5</vt:i4>
      </vt:variant>
      <vt:variant>
        <vt:lpwstr>http://www.crr.cz/Files/Docs/o_nas/vyrocni_zprava_2011.pdf</vt:lpwstr>
      </vt:variant>
      <vt:variant>
        <vt:lpwstr/>
      </vt:variant>
      <vt:variant>
        <vt:i4>393236</vt:i4>
      </vt:variant>
      <vt:variant>
        <vt:i4>36</vt:i4>
      </vt:variant>
      <vt:variant>
        <vt:i4>0</vt:i4>
      </vt:variant>
      <vt:variant>
        <vt:i4>5</vt:i4>
      </vt:variant>
      <vt:variant>
        <vt:lpwstr>http://www.crr.cz/Files/Docs/o_nas/onas_vz2010.pdf</vt:lpwstr>
      </vt:variant>
      <vt:variant>
        <vt:lpwstr/>
      </vt:variant>
      <vt:variant>
        <vt:i4>983061</vt:i4>
      </vt:variant>
      <vt:variant>
        <vt:i4>33</vt:i4>
      </vt:variant>
      <vt:variant>
        <vt:i4>0</vt:i4>
      </vt:variant>
      <vt:variant>
        <vt:i4>5</vt:i4>
      </vt:variant>
      <vt:variant>
        <vt:lpwstr>http://www.crr.cz/Files/Docs/o_nas/onas_vz2009.pdf</vt:lpwstr>
      </vt:variant>
      <vt:variant>
        <vt:lpwstr/>
      </vt:variant>
      <vt:variant>
        <vt:i4>4194313</vt:i4>
      </vt:variant>
      <vt:variant>
        <vt:i4>30</vt:i4>
      </vt:variant>
      <vt:variant>
        <vt:i4>0</vt:i4>
      </vt:variant>
      <vt:variant>
        <vt:i4>5</vt:i4>
      </vt:variant>
      <vt:variant>
        <vt:lpwstr>http://www.mmr.cz/cs/Stavebni-rad-a-bytova-politika/Uzemni-planovani-a-stavebni-rad/Koncepce-Strategie/Politika-uzemniho-rozvoje-Ceske-republiky</vt:lpwstr>
      </vt:variant>
      <vt:variant>
        <vt:lpwstr/>
      </vt:variant>
      <vt:variant>
        <vt:i4>6553703</vt:i4>
      </vt:variant>
      <vt:variant>
        <vt:i4>27</vt:i4>
      </vt:variant>
      <vt:variant>
        <vt:i4>0</vt:i4>
      </vt:variant>
      <vt:variant>
        <vt:i4>5</vt:i4>
      </vt:variant>
      <vt:variant>
        <vt:lpwstr>http://www.mmr.cz/cs/Podpora-regionu-a-cestovni-ruch/Regionalni-politika/Koncepce-Strategie/Strategie-regionalniho-rozvoje-CR-2014-2020</vt:lpwstr>
      </vt:variant>
      <vt:variant>
        <vt:lpwstr/>
      </vt:variant>
      <vt:variant>
        <vt:i4>3932274</vt:i4>
      </vt:variant>
      <vt:variant>
        <vt:i4>24</vt:i4>
      </vt:variant>
      <vt:variant>
        <vt:i4>0</vt:i4>
      </vt:variant>
      <vt:variant>
        <vt:i4>5</vt:i4>
      </vt:variant>
      <vt:variant>
        <vt:lpwstr>http://www.mmr.cz/Regionalni-politika/Koncepce-Strategie/Strategie-regionalniho-rozvoje-Ceske-republiky-na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http://www.strukturalni-fondy.cz/CMSPages/GetFile.aspx?guid=5a5a7a80-ae4c-48e2-add9-0719b2872d7a</vt:lpwstr>
      </vt:variant>
      <vt:variant>
        <vt:lpwstr/>
      </vt:variant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http://dotaceeu.cz/cs/Fondy-EU/2014-2020/Dohoda-o-partnerstvi</vt:lpwstr>
      </vt:variant>
      <vt:variant>
        <vt:lpwstr/>
      </vt:variant>
      <vt:variant>
        <vt:i4>8192083</vt:i4>
      </vt:variant>
      <vt:variant>
        <vt:i4>15</vt:i4>
      </vt:variant>
      <vt:variant>
        <vt:i4>0</vt:i4>
      </vt:variant>
      <vt:variant>
        <vt:i4>5</vt:i4>
      </vt:variant>
      <vt:variant>
        <vt:lpwstr>mailto:podatelna@crr.cz</vt:lpwstr>
      </vt:variant>
      <vt:variant>
        <vt:lpwstr/>
      </vt:variant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mailto:crr@crr.cz</vt:lpwstr>
      </vt:variant>
      <vt:variant>
        <vt:lpwstr/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http://www.crr.cz/cs/crr/uredni-deska-volna-mista/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http://www.crr.cz/cs/crr/o-nas/struktura/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http://www.crr.cz/Files/Docs/o_nas/RM146_statut_centra_podepsany.pdf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RehakV</dc:creator>
  <cp:lastModifiedBy>Šenkýř Miloš</cp:lastModifiedBy>
  <cp:revision>3</cp:revision>
  <cp:lastPrinted>2017-06-19T10:46:00Z</cp:lastPrinted>
  <dcterms:created xsi:type="dcterms:W3CDTF">2024-03-26T11:49:00Z</dcterms:created>
  <dcterms:modified xsi:type="dcterms:W3CDTF">2024-04-05T10:51:00Z</dcterms:modified>
</cp:coreProperties>
</file>