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275" w14:textId="0514B3C8" w:rsidR="00E32288" w:rsidRPr="00043887" w:rsidRDefault="00043887" w:rsidP="00E32288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proofErr w:type="spellStart"/>
      <w:r w:rsidRPr="0004388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IROP</w:t>
      </w:r>
      <w:proofErr w:type="spellEnd"/>
      <w:r w:rsidRPr="0004388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 zachraňuje české kulturní dědictví</w:t>
      </w:r>
    </w:p>
    <w:p w14:paraId="19B30D5F" w14:textId="77777777" w:rsidR="00043887" w:rsidRDefault="00043887" w:rsidP="00E32288">
      <w:pPr>
        <w:spacing w:after="0"/>
        <w:jc w:val="both"/>
        <w:rPr>
          <w:rFonts w:ascii="Arial" w:hAnsi="Arial" w:cs="Arial"/>
          <w:bCs/>
        </w:rPr>
      </w:pPr>
    </w:p>
    <w:p w14:paraId="6C33C92A" w14:textId="1775D069" w:rsidR="00043887" w:rsidRDefault="00043887" w:rsidP="00043887">
      <w:pPr>
        <w:jc w:val="both"/>
        <w:rPr>
          <w:b/>
        </w:rPr>
      </w:pPr>
      <w:r w:rsidRPr="00043887">
        <w:rPr>
          <w:rFonts w:ascii="Arial" w:hAnsi="Arial" w:cs="Arial"/>
          <w:bCs/>
        </w:rPr>
        <w:t>Plzeň 14. 3.</w:t>
      </w:r>
      <w:r>
        <w:t xml:space="preserve"> </w:t>
      </w:r>
      <w:r w:rsidRPr="00043887">
        <w:rPr>
          <w:rFonts w:ascii="Arial" w:hAnsi="Arial" w:cs="Arial"/>
          <w:b/>
          <w:bCs/>
        </w:rPr>
        <w:t xml:space="preserve">– Potřebné opravy kostelů, katedrály sv. Bartoloměje, Velké synagogy, galerií, muzeí a historicky hodnotných domů. Projekty za 13,17 mld. Kč v oblasti kultury a památek stihlo úspěšně administrovat Centrum pro regionální rozvoj České republiky v končícím programovém období </w:t>
      </w:r>
      <w:proofErr w:type="spellStart"/>
      <w:r w:rsidRPr="00043887">
        <w:rPr>
          <w:rFonts w:ascii="Arial" w:hAnsi="Arial" w:cs="Arial"/>
          <w:b/>
          <w:bCs/>
        </w:rPr>
        <w:t>IROP</w:t>
      </w:r>
      <w:proofErr w:type="spellEnd"/>
      <w:r w:rsidRPr="00043887">
        <w:rPr>
          <w:rFonts w:ascii="Arial" w:hAnsi="Arial" w:cs="Arial"/>
          <w:b/>
          <w:bCs/>
        </w:rPr>
        <w:t>.</w:t>
      </w:r>
      <w:r>
        <w:rPr>
          <w:b/>
        </w:rPr>
        <w:t xml:space="preserve"> </w:t>
      </w:r>
    </w:p>
    <w:p w14:paraId="6E0492D6" w14:textId="7AA4109B" w:rsidR="00043887" w:rsidRP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</w:rPr>
        <w:t xml:space="preserve">Evropské peníze míří také do záchrany českého kulturního dědictví. Bez nich by řada památek chátrala a některé z nich by se záchrany nikdy nedočkaly. </w:t>
      </w:r>
      <w:r w:rsidRPr="00043887">
        <w:rPr>
          <w:rFonts w:ascii="Arial" w:hAnsi="Arial" w:cs="Arial"/>
          <w:i/>
        </w:rPr>
        <w:t>„Když si dáme vedle sebe všechny realizované projekty v Plzeňském kraji, vidíme přehlídku hlavních kulturních památek</w:t>
      </w:r>
      <w:r w:rsidR="00464EA9">
        <w:rPr>
          <w:rFonts w:ascii="Arial" w:hAnsi="Arial" w:cs="Arial"/>
          <w:i/>
        </w:rPr>
        <w:t>,</w:t>
      </w:r>
      <w:r w:rsidRPr="00043887">
        <w:rPr>
          <w:rFonts w:ascii="Arial" w:hAnsi="Arial" w:cs="Arial"/>
          <w:i/>
        </w:rPr>
        <w:t>“</w:t>
      </w:r>
      <w:r w:rsidRPr="00043887">
        <w:rPr>
          <w:rFonts w:ascii="Arial" w:hAnsi="Arial" w:cs="Arial"/>
        </w:rPr>
        <w:t xml:space="preserve"> říká Magda Sýkorová, ředitelka plzeňské kanceláře </w:t>
      </w:r>
      <w:proofErr w:type="spellStart"/>
      <w:r w:rsidRPr="00043887">
        <w:rPr>
          <w:rFonts w:ascii="Arial" w:hAnsi="Arial" w:cs="Arial"/>
        </w:rPr>
        <w:t>CRR</w:t>
      </w:r>
      <w:proofErr w:type="spellEnd"/>
      <w:r w:rsidRPr="00043887">
        <w:rPr>
          <w:rFonts w:ascii="Arial" w:hAnsi="Arial" w:cs="Arial"/>
        </w:rPr>
        <w:t>.</w:t>
      </w:r>
    </w:p>
    <w:p w14:paraId="59EFCAAA" w14:textId="77777777" w:rsidR="00043887" w:rsidRP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</w:rPr>
        <w:t>Například vloni si 112 tisíc lidí prohlédlo katedrálu sv. Bartoloměje v Plzni. Je to dominanta města i díky 97 mil. Kč z </w:t>
      </w:r>
      <w:proofErr w:type="spellStart"/>
      <w:r w:rsidRPr="00043887">
        <w:rPr>
          <w:rFonts w:ascii="Arial" w:hAnsi="Arial" w:cs="Arial"/>
        </w:rPr>
        <w:t>IROP</w:t>
      </w:r>
      <w:proofErr w:type="spellEnd"/>
      <w:r w:rsidRPr="00043887">
        <w:rPr>
          <w:rFonts w:ascii="Arial" w:hAnsi="Arial" w:cs="Arial"/>
        </w:rPr>
        <w:t xml:space="preserve">. Má zrekonstruovány varhany, mobiliář a kompletní novou elektroinstalaci. Stejné peníze získala i Židovská obec Plzeň, která za ně opravila Velkou synagogu a Rabínský dům. </w:t>
      </w:r>
    </w:p>
    <w:p w14:paraId="04001DCD" w14:textId="77777777" w:rsidR="00043887" w:rsidRP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 xml:space="preserve">„Díky evropským penězům se povedlo opravit řadu národních kulturních památek na území Plzeňského kraje, ale také muzejních expozic a knihovních fondů. Určitě bych měla zmínit povedenou rekonstrukci </w:t>
      </w:r>
      <w:proofErr w:type="spellStart"/>
      <w:r w:rsidRPr="00043887">
        <w:rPr>
          <w:rFonts w:ascii="Arial" w:hAnsi="Arial" w:cs="Arial"/>
          <w:i/>
        </w:rPr>
        <w:t>Semlerovy</w:t>
      </w:r>
      <w:proofErr w:type="spellEnd"/>
      <w:r w:rsidRPr="00043887">
        <w:rPr>
          <w:rFonts w:ascii="Arial" w:hAnsi="Arial" w:cs="Arial"/>
          <w:i/>
        </w:rPr>
        <w:t xml:space="preserve"> rezidence, kterou navrhl slavný architekt Adolf </w:t>
      </w:r>
      <w:proofErr w:type="spellStart"/>
      <w:r w:rsidRPr="00043887">
        <w:rPr>
          <w:rFonts w:ascii="Arial" w:hAnsi="Arial" w:cs="Arial"/>
          <w:i/>
        </w:rPr>
        <w:t>Loos</w:t>
      </w:r>
      <w:proofErr w:type="spellEnd"/>
      <w:r w:rsidRPr="00043887">
        <w:rPr>
          <w:rFonts w:ascii="Arial" w:hAnsi="Arial" w:cs="Arial"/>
          <w:i/>
        </w:rPr>
        <w:t>. Stejně tak bych chtěla vypíchnout revitalizaci Vodního hamru Dobřív. Evropské peníze tak pomáhají nejen zachraňovat památky, ale jsou důležité i jako podpora turistického ruchu,“</w:t>
      </w:r>
      <w:r w:rsidRPr="00043887">
        <w:rPr>
          <w:rFonts w:ascii="Arial" w:hAnsi="Arial" w:cs="Arial"/>
        </w:rPr>
        <w:t xml:space="preserve"> dodává Magda Sýkorová. </w:t>
      </w:r>
    </w:p>
    <w:p w14:paraId="480B4371" w14:textId="7FDB2E68" w:rsidR="00043887" w:rsidRPr="00043887" w:rsidRDefault="00043887" w:rsidP="00043887">
      <w:pPr>
        <w:jc w:val="both"/>
        <w:rPr>
          <w:rFonts w:ascii="Arial" w:eastAsia="Times New Roman" w:hAnsi="Arial" w:cs="Arial"/>
        </w:rPr>
      </w:pPr>
      <w:r w:rsidRPr="00043887">
        <w:rPr>
          <w:rFonts w:ascii="Arial" w:eastAsia="Times New Roman" w:hAnsi="Arial" w:cs="Arial"/>
        </w:rPr>
        <w:t xml:space="preserve">Integrovaný regionální operační program podpořil </w:t>
      </w:r>
      <w:r w:rsidR="00EA4AB8">
        <w:rPr>
          <w:rFonts w:ascii="Arial" w:eastAsia="Times New Roman" w:hAnsi="Arial" w:cs="Arial"/>
        </w:rPr>
        <w:t xml:space="preserve">v období </w:t>
      </w:r>
      <w:r w:rsidR="00EA4AB8" w:rsidRPr="00043887">
        <w:rPr>
          <w:rFonts w:ascii="Arial" w:eastAsia="Times New Roman" w:hAnsi="Arial" w:cs="Arial"/>
        </w:rPr>
        <w:t xml:space="preserve">2014–2020 </w:t>
      </w:r>
      <w:r w:rsidRPr="00043887">
        <w:rPr>
          <w:rFonts w:ascii="Arial" w:eastAsia="Times New Roman" w:hAnsi="Arial" w:cs="Arial"/>
        </w:rPr>
        <w:t>kulturu v Plzeňském kraji částkou 1,397 mld. Kč</w:t>
      </w:r>
      <w:r w:rsidR="0091481F">
        <w:rPr>
          <w:rFonts w:ascii="Arial" w:eastAsia="Times New Roman" w:hAnsi="Arial" w:cs="Arial"/>
        </w:rPr>
        <w:t xml:space="preserve"> </w:t>
      </w:r>
      <w:r w:rsidR="00EA4AB8" w:rsidRPr="00043887">
        <w:rPr>
          <w:rFonts w:ascii="Arial" w:eastAsia="Times New Roman" w:hAnsi="Arial" w:cs="Arial"/>
        </w:rPr>
        <w:t>(nejedná se pouze o kulturní památky, ale také o podporu muzeí a knihoven)</w:t>
      </w:r>
      <w:r w:rsidRPr="00043887">
        <w:rPr>
          <w:rFonts w:ascii="Arial" w:eastAsia="Times New Roman" w:hAnsi="Arial" w:cs="Arial"/>
        </w:rPr>
        <w:t xml:space="preserve">. Podpora se týkala celkem 39 projektů. </w:t>
      </w:r>
    </w:p>
    <w:p w14:paraId="3E5B66DF" w14:textId="77777777" w:rsidR="00043887" w:rsidRPr="00043887" w:rsidRDefault="00043887" w:rsidP="00043887">
      <w:pPr>
        <w:jc w:val="both"/>
        <w:rPr>
          <w:rFonts w:ascii="Arial" w:eastAsia="Times New Roman" w:hAnsi="Arial" w:cs="Arial"/>
        </w:rPr>
      </w:pPr>
      <w:r w:rsidRPr="00043887">
        <w:rPr>
          <w:rFonts w:ascii="Arial" w:eastAsia="Times New Roman" w:hAnsi="Arial" w:cs="Arial"/>
        </w:rPr>
        <w:t xml:space="preserve">Mezi největší úspěšně dokončené projekty s dotací kolem 100 mil. Kč patří zmíněná revitalizace Katedrály sv. Bartoloměje v Plzni, obnova Velké synagogy a Rabínského domu v Plzni, ale také Jezuitský kostel v Klatovech. </w:t>
      </w:r>
      <w:r w:rsidRPr="00043887">
        <w:rPr>
          <w:rFonts w:ascii="Arial" w:eastAsia="Times New Roman" w:hAnsi="Arial" w:cs="Arial"/>
          <w:i/>
        </w:rPr>
        <w:t xml:space="preserve">„Další velké projekty, jako je například Cisterciácký klášter Plasy – Obnova opatské rezidence, Revitalizace Západočeského muzea v Plzni – Národopisného muzea Plzeňska, se dokončí letos,“ </w:t>
      </w:r>
      <w:r w:rsidRPr="00043887">
        <w:rPr>
          <w:rFonts w:ascii="Arial" w:eastAsia="Times New Roman" w:hAnsi="Arial" w:cs="Arial"/>
        </w:rPr>
        <w:t xml:space="preserve">vypočítává ředitelka plzeňské kanceláře </w:t>
      </w:r>
      <w:proofErr w:type="spellStart"/>
      <w:r w:rsidRPr="00043887">
        <w:rPr>
          <w:rFonts w:ascii="Arial" w:eastAsia="Times New Roman" w:hAnsi="Arial" w:cs="Arial"/>
        </w:rPr>
        <w:t>CRR</w:t>
      </w:r>
      <w:proofErr w:type="spellEnd"/>
      <w:r w:rsidRPr="00043887">
        <w:rPr>
          <w:rFonts w:ascii="Arial" w:eastAsia="Times New Roman" w:hAnsi="Arial" w:cs="Arial"/>
        </w:rPr>
        <w:t xml:space="preserve">. </w:t>
      </w:r>
    </w:p>
    <w:p w14:paraId="63CBFF5D" w14:textId="28D76846" w:rsidR="00043887" w:rsidRPr="00043887" w:rsidRDefault="00043887" w:rsidP="00043887">
      <w:pPr>
        <w:jc w:val="both"/>
        <w:rPr>
          <w:rFonts w:ascii="Arial" w:eastAsia="Times New Roman" w:hAnsi="Arial" w:cs="Arial"/>
        </w:rPr>
      </w:pPr>
      <w:r w:rsidRPr="00043887">
        <w:rPr>
          <w:rFonts w:ascii="Arial" w:eastAsia="Times New Roman" w:hAnsi="Arial" w:cs="Arial"/>
        </w:rPr>
        <w:t xml:space="preserve">V minulém roce se rozběhl </w:t>
      </w:r>
      <w:proofErr w:type="spellStart"/>
      <w:r w:rsidRPr="00043887">
        <w:rPr>
          <w:rFonts w:ascii="Arial" w:eastAsia="Times New Roman" w:hAnsi="Arial" w:cs="Arial"/>
        </w:rPr>
        <w:t>IROP</w:t>
      </w:r>
      <w:proofErr w:type="spellEnd"/>
      <w:r w:rsidRPr="00043887">
        <w:rPr>
          <w:rFonts w:ascii="Arial" w:eastAsia="Times New Roman" w:hAnsi="Arial" w:cs="Arial"/>
        </w:rPr>
        <w:t xml:space="preserve"> </w:t>
      </w:r>
      <w:r w:rsidR="00EA4AB8">
        <w:rPr>
          <w:rFonts w:ascii="Arial" w:eastAsia="Times New Roman" w:hAnsi="Arial" w:cs="Arial"/>
        </w:rPr>
        <w:t>na</w:t>
      </w:r>
      <w:r w:rsidRPr="00043887">
        <w:rPr>
          <w:rFonts w:ascii="Arial" w:eastAsia="Times New Roman" w:hAnsi="Arial" w:cs="Arial"/>
        </w:rPr>
        <w:t xml:space="preserve"> období 2021–2027. V jeho rámci už bylo předloženo </w:t>
      </w:r>
      <w:r>
        <w:rPr>
          <w:rFonts w:ascii="Arial" w:eastAsia="Times New Roman" w:hAnsi="Arial" w:cs="Arial"/>
        </w:rPr>
        <w:t>osm</w:t>
      </w:r>
      <w:r w:rsidRPr="00043887">
        <w:rPr>
          <w:rFonts w:ascii="Arial" w:eastAsia="Times New Roman" w:hAnsi="Arial" w:cs="Arial"/>
        </w:rPr>
        <w:t xml:space="preserve"> projektů celkově za 266 mil. Kč. </w:t>
      </w:r>
    </w:p>
    <w:p w14:paraId="1BB99FD1" w14:textId="77777777" w:rsidR="00A73082" w:rsidRPr="000834FC" w:rsidRDefault="00A73082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 xml:space="preserve">Vedoucí komunikace </w:t>
      </w:r>
      <w:proofErr w:type="spellStart"/>
      <w:r w:rsidRPr="000834FC">
        <w:rPr>
          <w:rFonts w:ascii="Arial" w:hAnsi="Arial" w:cs="Arial"/>
          <w:bCs/>
        </w:rPr>
        <w:t>CRR</w:t>
      </w:r>
      <w:proofErr w:type="spellEnd"/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lastRenderedPageBreak/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>hlavní činností administrace a kontrola čerpání evropských fondů. Nyní má na starosti administraci Integrovaného regionálního operačního programu (</w:t>
      </w:r>
      <w:proofErr w:type="spellStart"/>
      <w:r w:rsidRPr="00FA4D68">
        <w:rPr>
          <w:rFonts w:ascii="Arial" w:hAnsi="Arial" w:cs="Arial"/>
          <w:sz w:val="20"/>
          <w:szCs w:val="20"/>
        </w:rPr>
        <w:t>IROP</w:t>
      </w:r>
      <w:proofErr w:type="spellEnd"/>
      <w:r w:rsidRPr="00FA4D68">
        <w:rPr>
          <w:rFonts w:ascii="Arial" w:hAnsi="Arial" w:cs="Arial"/>
          <w:sz w:val="20"/>
          <w:szCs w:val="20"/>
        </w:rPr>
        <w:t xml:space="preserve">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342" w14:textId="77777777" w:rsidR="00194BB7" w:rsidRDefault="00194BB7" w:rsidP="00950BCA">
      <w:pPr>
        <w:spacing w:after="0" w:line="240" w:lineRule="auto"/>
      </w:pPr>
      <w:r>
        <w:separator/>
      </w:r>
    </w:p>
  </w:endnote>
  <w:endnote w:type="continuationSeparator" w:id="0">
    <w:p w14:paraId="1C0AA981" w14:textId="77777777" w:rsidR="00194BB7" w:rsidRDefault="00194BB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8CF" w14:textId="77777777" w:rsidR="00194BB7" w:rsidRDefault="00194BB7" w:rsidP="00950BCA">
      <w:pPr>
        <w:spacing w:after="0" w:line="240" w:lineRule="auto"/>
      </w:pPr>
      <w:r>
        <w:separator/>
      </w:r>
    </w:p>
  </w:footnote>
  <w:footnote w:type="continuationSeparator" w:id="0">
    <w:p w14:paraId="034CB977" w14:textId="77777777" w:rsidR="00194BB7" w:rsidRDefault="00194BB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22F85"/>
    <w:rsid w:val="00026589"/>
    <w:rsid w:val="00035385"/>
    <w:rsid w:val="00043887"/>
    <w:rsid w:val="00043AFF"/>
    <w:rsid w:val="000802ED"/>
    <w:rsid w:val="000834FC"/>
    <w:rsid w:val="000A0A9E"/>
    <w:rsid w:val="000A5CC7"/>
    <w:rsid w:val="000B1F25"/>
    <w:rsid w:val="000C6384"/>
    <w:rsid w:val="000D2F66"/>
    <w:rsid w:val="000E332C"/>
    <w:rsid w:val="000E5559"/>
    <w:rsid w:val="000F2C01"/>
    <w:rsid w:val="001111C2"/>
    <w:rsid w:val="00125EC7"/>
    <w:rsid w:val="00132222"/>
    <w:rsid w:val="00143FBD"/>
    <w:rsid w:val="00172707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3107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9479D"/>
    <w:rsid w:val="003A3D4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4EA9"/>
    <w:rsid w:val="00465D45"/>
    <w:rsid w:val="00470A90"/>
    <w:rsid w:val="004765C7"/>
    <w:rsid w:val="00477C52"/>
    <w:rsid w:val="004C7001"/>
    <w:rsid w:val="004D160F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40F26"/>
    <w:rsid w:val="0066036B"/>
    <w:rsid w:val="00661566"/>
    <w:rsid w:val="00665100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815648"/>
    <w:rsid w:val="008253A6"/>
    <w:rsid w:val="008338E0"/>
    <w:rsid w:val="008463DB"/>
    <w:rsid w:val="00862C57"/>
    <w:rsid w:val="008734C9"/>
    <w:rsid w:val="00893324"/>
    <w:rsid w:val="008C5207"/>
    <w:rsid w:val="008F223A"/>
    <w:rsid w:val="0091481F"/>
    <w:rsid w:val="009153FF"/>
    <w:rsid w:val="009175E8"/>
    <w:rsid w:val="009451DF"/>
    <w:rsid w:val="00950BCA"/>
    <w:rsid w:val="009760B3"/>
    <w:rsid w:val="009847E1"/>
    <w:rsid w:val="00991DD8"/>
    <w:rsid w:val="0099365F"/>
    <w:rsid w:val="009A1E2B"/>
    <w:rsid w:val="009B09C4"/>
    <w:rsid w:val="009C274D"/>
    <w:rsid w:val="009C31CD"/>
    <w:rsid w:val="009E6E68"/>
    <w:rsid w:val="009F19C1"/>
    <w:rsid w:val="00A134DF"/>
    <w:rsid w:val="00A15A11"/>
    <w:rsid w:val="00A43D30"/>
    <w:rsid w:val="00A73082"/>
    <w:rsid w:val="00A90656"/>
    <w:rsid w:val="00A97D48"/>
    <w:rsid w:val="00AE14B1"/>
    <w:rsid w:val="00B454A9"/>
    <w:rsid w:val="00B51A1C"/>
    <w:rsid w:val="00B54D59"/>
    <w:rsid w:val="00B55E16"/>
    <w:rsid w:val="00B75F51"/>
    <w:rsid w:val="00BA55ED"/>
    <w:rsid w:val="00BA7411"/>
    <w:rsid w:val="00BA7697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904F3"/>
    <w:rsid w:val="00C9470F"/>
    <w:rsid w:val="00CA401B"/>
    <w:rsid w:val="00CA7CEF"/>
    <w:rsid w:val="00CD6C87"/>
    <w:rsid w:val="00CE4EDD"/>
    <w:rsid w:val="00D17DC9"/>
    <w:rsid w:val="00D2150E"/>
    <w:rsid w:val="00D31054"/>
    <w:rsid w:val="00D31437"/>
    <w:rsid w:val="00D31D27"/>
    <w:rsid w:val="00D33B0F"/>
    <w:rsid w:val="00D44F2D"/>
    <w:rsid w:val="00D472BC"/>
    <w:rsid w:val="00D5452E"/>
    <w:rsid w:val="00D56C61"/>
    <w:rsid w:val="00D708D9"/>
    <w:rsid w:val="00D83587"/>
    <w:rsid w:val="00D8564A"/>
    <w:rsid w:val="00D92179"/>
    <w:rsid w:val="00D9519B"/>
    <w:rsid w:val="00DA42E6"/>
    <w:rsid w:val="00DC3C2E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A4AB8"/>
    <w:rsid w:val="00EB08A8"/>
    <w:rsid w:val="00EC44AC"/>
    <w:rsid w:val="00ED5025"/>
    <w:rsid w:val="00F02C8B"/>
    <w:rsid w:val="00F24635"/>
    <w:rsid w:val="00F24BBD"/>
    <w:rsid w:val="00F2798C"/>
    <w:rsid w:val="00F403F7"/>
    <w:rsid w:val="00F42DE5"/>
    <w:rsid w:val="00F44463"/>
    <w:rsid w:val="00F45A50"/>
    <w:rsid w:val="00F712A4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Alex</cp:lastModifiedBy>
  <cp:revision>3</cp:revision>
  <cp:lastPrinted>2023-01-12T15:38:00Z</cp:lastPrinted>
  <dcterms:created xsi:type="dcterms:W3CDTF">2023-03-14T15:44:00Z</dcterms:created>
  <dcterms:modified xsi:type="dcterms:W3CDTF">2023-03-14T15:45:00Z</dcterms:modified>
</cp:coreProperties>
</file>