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B68AB" w:rsidRDefault="00000000">
      <w:pPr>
        <w:pStyle w:val="Nadpis3"/>
        <w:keepNext w:val="0"/>
        <w:keepLines w:val="0"/>
        <w:spacing w:before="28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Kostel Nanebevzetí Panny Marie, ikonická dominanta s unikátní šikmou věží, má opravenou fasádu. Většinu nákladů pokryly evropské peníze</w:t>
      </w:r>
    </w:p>
    <w:p w14:paraId="00000002" w14:textId="38B9E385" w:rsidR="004B68AB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Ústí nad Labem </w:t>
      </w:r>
      <w:r w:rsidR="00C37B21" w:rsidRPr="00D46CF6">
        <w:rPr>
          <w:rFonts w:ascii="Calibri" w:eastAsia="Calibri" w:hAnsi="Calibri" w:cs="Calibri"/>
          <w:color w:val="000000"/>
          <w:sz w:val="24"/>
          <w:szCs w:val="24"/>
        </w:rPr>
        <w:t>4</w:t>
      </w:r>
      <w:r w:rsidRPr="00D46CF6">
        <w:rPr>
          <w:rFonts w:ascii="Calibri" w:eastAsia="Calibri" w:hAnsi="Calibri" w:cs="Calibri"/>
          <w:color w:val="000000"/>
          <w:sz w:val="24"/>
          <w:szCs w:val="24"/>
        </w:rPr>
        <w:t>.11.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–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Nejvýznamnější památka Ústí nad Labem, gotický kostel s šikmou věží, svítí novotou. Památka, která byla ohrožena havarijním stavem fasády a kamenných prvků, je opravena s podporou peněz z Integrovaného regionálního operačního programu.</w:t>
      </w:r>
    </w:p>
    <w:p w14:paraId="00000003" w14:textId="2439A9B6" w:rsidR="004B68A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Projekt s celkovými náklady 27,5 milionu Kč se uskutečnil díky podpoře z evropských fondů. Dotace z Integrovaného regionálního operačního programu (IROP) dosáhla 85 % nákladů, tedy 23,3 milionu Kč</w:t>
      </w:r>
      <w:r w:rsidR="00D46CF6">
        <w:rPr>
          <w:rFonts w:ascii="Calibri" w:eastAsia="Calibri" w:hAnsi="Calibri" w:cs="Calibri"/>
          <w:color w:val="000000"/>
          <w:sz w:val="24"/>
          <w:szCs w:val="24"/>
        </w:rPr>
        <w:t>, desetinu dodal státní rozpočet</w:t>
      </w:r>
      <w:r>
        <w:rPr>
          <w:rFonts w:ascii="Calibri" w:eastAsia="Calibri" w:hAnsi="Calibri" w:cs="Calibri"/>
          <w:color w:val="000000"/>
          <w:sz w:val="24"/>
          <w:szCs w:val="24"/>
        </w:rPr>
        <w:t>. Investice zachovala cenné kulturní dědictví, které spoluvytváří identitu města. Projekt vyřešil dlouhodobý nedostatek vlastních prostředků na údržbu fasády a také restaurování kamenných prvků včetně monumentálního vstupního portálu.</w:t>
      </w:r>
    </w:p>
    <w:p w14:paraId="00000004" w14:textId="7897434B" w:rsidR="004B68A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i/>
          <w:color w:val="000000"/>
          <w:sz w:val="24"/>
          <w:szCs w:val="24"/>
        </w:rPr>
        <w:t>„Zachování kulturního a historického dědictví pro budoucí generace je jedním z</w:t>
      </w:r>
      <w:r w:rsidR="00D46CF6">
        <w:rPr>
          <w:rFonts w:ascii="Calibri" w:eastAsia="Calibri" w:hAnsi="Calibri" w:cs="Calibri"/>
          <w:i/>
          <w:color w:val="000000"/>
          <w:sz w:val="24"/>
          <w:szCs w:val="24"/>
        </w:rPr>
        <w:t> </w:t>
      </w:r>
      <w:r>
        <w:rPr>
          <w:rFonts w:ascii="Calibri" w:eastAsia="Calibri" w:hAnsi="Calibri" w:cs="Calibri"/>
          <w:i/>
          <w:color w:val="000000"/>
          <w:sz w:val="24"/>
          <w:szCs w:val="24"/>
        </w:rPr>
        <w:t>hlavních cílů IROP. Úspěšný projekt tak zajišťuje, že ikonická šikmá věž, která se stala raritou a turistickým lákadlem, bude i nadále připomínat nejen architektonickou historii, ale i odolnost města vůči válečným událostem, a zároveň podpoří turismus a zvýší atraktivitu celého regionu,</w:t>
      </w:r>
      <w:r w:rsidR="00D46CF6">
        <w:rPr>
          <w:rFonts w:ascii="Calibri" w:eastAsia="Calibri" w:hAnsi="Calibri" w:cs="Calibri"/>
          <w:i/>
          <w:color w:val="000000"/>
          <w:sz w:val="24"/>
          <w:szCs w:val="24"/>
        </w:rPr>
        <w:t>“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říká Viktor Kruml, ředitel ústecké kanceláře Centra pro regionální rozvoj.</w:t>
      </w:r>
    </w:p>
    <w:p w14:paraId="00000005" w14:textId="0197EDA3" w:rsidR="004B68A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Hlavní část projektu tvořily stavební a restaurátorské práce nejpostiženější části kostela, což byla fasáda. Práce zahrnovaly obnovu omítek, opravu soklu, říms a opěráků, a především náročné restaurování kamenných prvků a monumentálního vstupního portálu. </w:t>
      </w:r>
      <w:r>
        <w:rPr>
          <w:rFonts w:ascii="Calibri" w:eastAsia="Calibri" w:hAnsi="Calibri" w:cs="Calibri"/>
          <w:i/>
          <w:color w:val="000000"/>
          <w:sz w:val="24"/>
          <w:szCs w:val="24"/>
        </w:rPr>
        <w:t>„Šikmá věž je s</w:t>
      </w:r>
      <w:r w:rsidR="00D46CF6">
        <w:rPr>
          <w:rFonts w:ascii="Calibri" w:eastAsia="Calibri" w:hAnsi="Calibri" w:cs="Calibri"/>
          <w:i/>
          <w:color w:val="000000"/>
          <w:sz w:val="24"/>
          <w:szCs w:val="24"/>
        </w:rPr>
        <w:t> </w:t>
      </w:r>
      <w:r>
        <w:rPr>
          <w:rFonts w:ascii="Calibri" w:eastAsia="Calibri" w:hAnsi="Calibri" w:cs="Calibri"/>
          <w:i/>
          <w:color w:val="000000"/>
          <w:sz w:val="24"/>
          <w:szCs w:val="24"/>
        </w:rPr>
        <w:t xml:space="preserve">odklonem přes dva metry nejšikmější kostelní věží </w:t>
      </w:r>
      <w:r w:rsidR="00577CB4">
        <w:rPr>
          <w:rFonts w:ascii="Calibri" w:eastAsia="Calibri" w:hAnsi="Calibri" w:cs="Calibri"/>
          <w:i/>
          <w:color w:val="000000"/>
          <w:sz w:val="24"/>
          <w:szCs w:val="24"/>
        </w:rPr>
        <w:t>na sever od Alp</w:t>
      </w:r>
      <w:r>
        <w:rPr>
          <w:rFonts w:ascii="Calibri" w:eastAsia="Calibri" w:hAnsi="Calibri" w:cs="Calibri"/>
          <w:i/>
          <w:color w:val="000000"/>
          <w:sz w:val="24"/>
          <w:szCs w:val="24"/>
        </w:rPr>
        <w:t xml:space="preserve">. Díky opravdu povedené rekonstrukci se očekává, že </w:t>
      </w:r>
      <w:r w:rsidR="00D46CF6">
        <w:rPr>
          <w:rFonts w:ascii="Calibri" w:eastAsia="Calibri" w:hAnsi="Calibri" w:cs="Calibri"/>
          <w:i/>
          <w:color w:val="000000"/>
          <w:sz w:val="24"/>
          <w:szCs w:val="24"/>
        </w:rPr>
        <w:t xml:space="preserve">roční </w:t>
      </w:r>
      <w:r>
        <w:rPr>
          <w:rFonts w:ascii="Calibri" w:eastAsia="Calibri" w:hAnsi="Calibri" w:cs="Calibri"/>
          <w:i/>
          <w:color w:val="000000"/>
          <w:sz w:val="24"/>
          <w:szCs w:val="24"/>
        </w:rPr>
        <w:t>návštěvnost kostela vzroste až na 95 550 osob hned v</w:t>
      </w:r>
      <w:r w:rsidR="00D46CF6">
        <w:rPr>
          <w:rFonts w:ascii="Calibri" w:eastAsia="Calibri" w:hAnsi="Calibri" w:cs="Calibri"/>
          <w:i/>
          <w:color w:val="000000"/>
          <w:sz w:val="24"/>
          <w:szCs w:val="24"/>
        </w:rPr>
        <w:t> </w:t>
      </w:r>
      <w:r>
        <w:rPr>
          <w:rFonts w:ascii="Calibri" w:eastAsia="Calibri" w:hAnsi="Calibri" w:cs="Calibri"/>
          <w:i/>
          <w:color w:val="000000"/>
          <w:sz w:val="24"/>
          <w:szCs w:val="24"/>
        </w:rPr>
        <w:t>příštím roce,“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dodává Viktor Kruml. </w:t>
      </w:r>
    </w:p>
    <w:p w14:paraId="00000006" w14:textId="7F4449FE" w:rsidR="004B68AB" w:rsidRPr="00D46CF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  <w:i/>
          <w:sz w:val="24"/>
          <w:szCs w:val="24"/>
        </w:rPr>
      </w:pPr>
      <w:bookmarkStart w:id="0" w:name="_heading=h.vx65iqr3h4p" w:colFirst="0" w:colLast="0"/>
      <w:bookmarkEnd w:id="0"/>
      <w:r w:rsidRPr="00D46CF6">
        <w:rPr>
          <w:rFonts w:ascii="Calibri" w:eastAsia="Calibri" w:hAnsi="Calibri" w:cs="Calibri"/>
          <w:sz w:val="24"/>
          <w:szCs w:val="24"/>
        </w:rPr>
        <w:t>Díky podpoře z</w:t>
      </w:r>
      <w:r w:rsidR="00D46CF6">
        <w:rPr>
          <w:rFonts w:ascii="Calibri" w:eastAsia="Calibri" w:hAnsi="Calibri" w:cs="Calibri"/>
          <w:sz w:val="24"/>
          <w:szCs w:val="24"/>
        </w:rPr>
        <w:t> </w:t>
      </w:r>
      <w:r w:rsidRPr="00D46CF6">
        <w:rPr>
          <w:rFonts w:ascii="Calibri" w:eastAsia="Calibri" w:hAnsi="Calibri" w:cs="Calibri"/>
          <w:sz w:val="24"/>
          <w:szCs w:val="24"/>
        </w:rPr>
        <w:t>evropských fondů se však neopravuje pouze ústecká dominanta. V</w:t>
      </w:r>
      <w:r w:rsidR="00D46CF6">
        <w:rPr>
          <w:rFonts w:ascii="Calibri" w:eastAsia="Calibri" w:hAnsi="Calibri" w:cs="Calibri"/>
          <w:sz w:val="24"/>
          <w:szCs w:val="24"/>
        </w:rPr>
        <w:t> </w:t>
      </w:r>
      <w:r w:rsidRPr="00D46CF6">
        <w:rPr>
          <w:rFonts w:ascii="Calibri" w:eastAsia="Calibri" w:hAnsi="Calibri" w:cs="Calibri"/>
          <w:sz w:val="24"/>
          <w:szCs w:val="24"/>
        </w:rPr>
        <w:t xml:space="preserve">rámci </w:t>
      </w:r>
      <w:r w:rsidR="00D46CF6">
        <w:rPr>
          <w:rFonts w:ascii="Calibri" w:eastAsia="Calibri" w:hAnsi="Calibri" w:cs="Calibri"/>
          <w:sz w:val="24"/>
          <w:szCs w:val="24"/>
        </w:rPr>
        <w:t>IROP</w:t>
      </w:r>
      <w:r w:rsidRPr="00D46CF6">
        <w:rPr>
          <w:rFonts w:ascii="Calibri" w:eastAsia="Calibri" w:hAnsi="Calibri" w:cs="Calibri"/>
          <w:sz w:val="24"/>
          <w:szCs w:val="24"/>
        </w:rPr>
        <w:t xml:space="preserve"> bylo v</w:t>
      </w:r>
      <w:r w:rsidR="00D46CF6">
        <w:rPr>
          <w:rFonts w:ascii="Calibri" w:eastAsia="Calibri" w:hAnsi="Calibri" w:cs="Calibri"/>
          <w:sz w:val="24"/>
          <w:szCs w:val="24"/>
        </w:rPr>
        <w:t> </w:t>
      </w:r>
      <w:r w:rsidRPr="00D46CF6">
        <w:rPr>
          <w:rFonts w:ascii="Calibri" w:eastAsia="Calibri" w:hAnsi="Calibri" w:cs="Calibri"/>
          <w:sz w:val="24"/>
          <w:szCs w:val="24"/>
        </w:rPr>
        <w:t>Ústeckém kraji v</w:t>
      </w:r>
      <w:r w:rsidR="00D46CF6">
        <w:rPr>
          <w:rFonts w:ascii="Calibri" w:eastAsia="Calibri" w:hAnsi="Calibri" w:cs="Calibri"/>
          <w:sz w:val="24"/>
          <w:szCs w:val="24"/>
        </w:rPr>
        <w:t> </w:t>
      </w:r>
      <w:r w:rsidRPr="00D46CF6">
        <w:rPr>
          <w:rFonts w:ascii="Calibri" w:eastAsia="Calibri" w:hAnsi="Calibri" w:cs="Calibri"/>
          <w:sz w:val="24"/>
          <w:szCs w:val="24"/>
        </w:rPr>
        <w:t>obou programových obdobích podpořeno 57 projektů zaměřených na obnovu památek</w:t>
      </w:r>
      <w:r w:rsidR="00D46CF6">
        <w:rPr>
          <w:rFonts w:ascii="Calibri" w:eastAsia="Calibri" w:hAnsi="Calibri" w:cs="Calibri"/>
          <w:sz w:val="24"/>
          <w:szCs w:val="24"/>
        </w:rPr>
        <w:t>. Unie je prostřednictvím IROP podpořila částkou</w:t>
      </w:r>
      <w:r w:rsidRPr="00D46CF6">
        <w:rPr>
          <w:rFonts w:ascii="Calibri" w:eastAsia="Calibri" w:hAnsi="Calibri" w:cs="Calibri"/>
          <w:sz w:val="24"/>
          <w:szCs w:val="24"/>
        </w:rPr>
        <w:t xml:space="preserve"> přes 822 milionů Kč, což umožnilo zachránit jak významné památky regionálního významu – jako například Mederův dům v</w:t>
      </w:r>
      <w:r w:rsidR="00D46CF6">
        <w:rPr>
          <w:rFonts w:ascii="Calibri" w:eastAsia="Calibri" w:hAnsi="Calibri" w:cs="Calibri"/>
          <w:sz w:val="24"/>
          <w:szCs w:val="24"/>
        </w:rPr>
        <w:t> </w:t>
      </w:r>
      <w:r w:rsidRPr="00D46CF6">
        <w:rPr>
          <w:rFonts w:ascii="Calibri" w:eastAsia="Calibri" w:hAnsi="Calibri" w:cs="Calibri"/>
          <w:sz w:val="24"/>
          <w:szCs w:val="24"/>
        </w:rPr>
        <w:t>Žatci, areál kláštera Osek, nebo zámek Krásný Les – tak i drobné historické stavby.</w:t>
      </w:r>
    </w:p>
    <w:p w14:paraId="53C0C2EA" w14:textId="4E2BF759" w:rsidR="00D46CF6" w:rsidRPr="00D46CF6" w:rsidRDefault="00D46CF6" w:rsidP="00D46C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D46CF6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Více informací poskytne: </w:t>
      </w:r>
    </w:p>
    <w:p w14:paraId="7717B533" w14:textId="04CA1285" w:rsidR="00D46CF6" w:rsidRDefault="00D46CF6" w:rsidP="00D46C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Markéta Reedová</w:t>
      </w:r>
    </w:p>
    <w:p w14:paraId="2F2F4E26" w14:textId="3EE33293" w:rsidR="00D46CF6" w:rsidRDefault="00D46CF6" w:rsidP="00D46C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hyperlink r:id="rId5" w:history="1">
        <w:r w:rsidRPr="0049315C">
          <w:rPr>
            <w:rStyle w:val="Hypertextovodkaz"/>
            <w:rFonts w:ascii="Calibri" w:eastAsia="Calibri" w:hAnsi="Calibri" w:cs="Calibri"/>
            <w:sz w:val="24"/>
            <w:szCs w:val="24"/>
          </w:rPr>
          <w:t>Marketa.Reedova@crr.gov.cz</w:t>
        </w:r>
      </w:hyperlink>
    </w:p>
    <w:p w14:paraId="2278BA56" w14:textId="22C73C67" w:rsidR="00D46CF6" w:rsidRDefault="00D46CF6" w:rsidP="00D46C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Tel.: 606 616 297</w:t>
      </w:r>
    </w:p>
    <w:p w14:paraId="00000007" w14:textId="39057C27" w:rsidR="004B68AB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br/>
      </w:r>
      <w:r>
        <w:rPr>
          <w:rFonts w:ascii="Calibri" w:eastAsia="Calibri" w:hAnsi="Calibri" w:cs="Calibri"/>
          <w:b/>
          <w:color w:val="000000"/>
        </w:rPr>
        <w:t>O Centru pro regionální rozvoj České republiky</w:t>
      </w:r>
    </w:p>
    <w:p w14:paraId="00000008" w14:textId="77777777" w:rsidR="004B68AB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Centrum pro regionální rozvoj je státní agentura, která zabezpečuje především politiky regionálního rozvoje a koheze. Už téměř třicet let administruje největší zdroje evropských peněz pro rozvoj regionů: </w:t>
      </w:r>
      <w:r>
        <w:rPr>
          <w:rFonts w:ascii="Calibri" w:eastAsia="Calibri" w:hAnsi="Calibri" w:cs="Calibri"/>
          <w:color w:val="000000"/>
        </w:rPr>
        <w:lastRenderedPageBreak/>
        <w:t>Integrovaný regionální operační program a programy evropské územní spolupráce, zodpovědnost má i za řadu národních dotačních programů, například Živel 1–4. Pobočky má ve všech krajských městech. Ročně také zkontroluje více než 30 000 veřejných zakázek – patří tak k nejrespektovanějším expertům v této oblasti v Česku. Centrum je inovátorem v efektivním použití umělé inteligence a expertním místem pro koncept Smart Cities. Více informací na crr.gov.cz.</w:t>
      </w:r>
    </w:p>
    <w:sectPr w:rsidR="004B68AB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D9EE007-B1CE-4640-BE09-AB19FF361E4B}"/>
    <w:embedBold r:id="rId2" w:fontKey="{F3CFAAAD-AE74-FB4C-8988-D7431C747A0E}"/>
    <w:embedItalic r:id="rId3" w:fontKey="{452313E8-1E18-4341-88CE-05B4616DF3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9D40D34-23E3-1A44-BA18-DB5E27EE7CAF}"/>
    <w:embedBold r:id="rId5" w:fontKey="{62264A04-4C06-FE4D-9DDF-2FA49C75FFA8}"/>
  </w:font>
  <w:font w:name="Lucida Grande C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75DFF740-219B-5E42-8A3B-A3BC339616D0}"/>
    <w:embedBold r:id="rId8" w:fontKey="{668F1238-1635-1D4E-AB14-CB3A1B1F8E3F}"/>
    <w:embedItalic r:id="rId9" w:fontKey="{03D1D0DB-695C-8F43-B264-81327EA76EE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B47B837E-6242-B940-AD1D-0E9438D21E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8AB"/>
    <w:rsid w:val="002D0958"/>
    <w:rsid w:val="004B68AB"/>
    <w:rsid w:val="00577CB4"/>
    <w:rsid w:val="007366BB"/>
    <w:rsid w:val="00C37B21"/>
    <w:rsid w:val="00D4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35914"/>
  <w15:docId w15:val="{57DD70EB-6691-4DD3-BBC1-D20184AF3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ln1">
    <w:name w:val="Normální1"/>
  </w:style>
  <w:style w:type="paragraph" w:styleId="Textbubliny">
    <w:name w:val="Balloon Text"/>
    <w:basedOn w:val="Normln"/>
    <w:link w:val="TextbublinyChar"/>
    <w:uiPriority w:val="99"/>
    <w:semiHidden/>
    <w:unhideWhenUsed/>
    <w:rsid w:val="00A70CA5"/>
    <w:pPr>
      <w:spacing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0CA5"/>
    <w:rPr>
      <w:rFonts w:ascii="Lucida Grande CE" w:hAnsi="Lucida Grande CE" w:cs="Lucida Grande CE"/>
      <w:sz w:val="18"/>
      <w:szCs w:val="18"/>
    </w:rPr>
  </w:style>
  <w:style w:type="paragraph" w:styleId="Revize">
    <w:name w:val="Revision"/>
    <w:hidden/>
    <w:uiPriority w:val="99"/>
    <w:semiHidden/>
    <w:rsid w:val="00BB4A53"/>
    <w:pPr>
      <w:spacing w:line="240" w:lineRule="auto"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character" w:styleId="Odkaznakoment">
    <w:name w:val="annotation reference"/>
    <w:basedOn w:val="Standardnpsmoodstavce"/>
    <w:uiPriority w:val="99"/>
    <w:semiHidden/>
    <w:unhideWhenUsed/>
    <w:rsid w:val="00577CB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77CB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77CB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77CB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77CB4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D46CF6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46C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Marketa.Reedova@crr.gov.cz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fcbNL9Hkl3N4p3qXYxF6KrY/eQ==">CgMxLjAyDWgudng2NWlxcjNoNHA4AHIhMWlqV1lBeDJEZnhHOWdjV3lLcG95d0pic1Y2bDVmM1Jo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444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Centrum pro Regionalni rozvoj</Company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Kruml Viktor</dc:creator>
  <cp:lastModifiedBy>Microsoft Office User</cp:lastModifiedBy>
  <cp:revision>3</cp:revision>
  <dcterms:created xsi:type="dcterms:W3CDTF">2025-11-04T07:33:00Z</dcterms:created>
  <dcterms:modified xsi:type="dcterms:W3CDTF">2025-11-04T07:40:00Z</dcterms:modified>
</cp:coreProperties>
</file>